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Tinallinge / 1917</w:t>
      </w:r>
    </w:p>
    <w:p>
      <w:pPr>
        <w:pStyle w:val="Heading2"/>
        <w:ind w:start="0" w:end="0" w:hanging="0"/>
        <w:rPr>
          <w:i w:val="false"/>
          <w:i w:val="false"/>
          <w:iCs/>
        </w:rPr>
      </w:pPr>
      <w:r>
        <w:rPr>
          <w:i w:val="false"/>
          <w:iCs/>
        </w:rPr>
        <w:t>Onze Lieve Vrouwekerk (voormalige Hervormde Kerk)</w:t>
      </w:r>
    </w:p>
    <w:p>
      <w:pPr>
        <w:pStyle w:val="T1"/>
        <w:jc w:val="start"/>
        <w:rPr>
          <w:i/>
          <w:i/>
          <w:iCs/>
        </w:rPr>
      </w:pPr>
      <w:r>
        <w:rPr>
          <w:i/>
          <w:iCs/>
        </w:rPr>
      </w:r>
    </w:p>
    <w:p>
      <w:pPr>
        <w:pStyle w:val="T1"/>
        <w:jc w:val="start"/>
        <w:rPr>
          <w:i/>
          <w:i/>
          <w:iCs/>
          <w:lang w:val="nl-NL"/>
        </w:rPr>
      </w:pPr>
      <w:r>
        <w:rPr>
          <w:i/>
          <w:iCs/>
          <w:lang w:val="nl-NL"/>
        </w:rPr>
        <w:t>Deels gepleisterde rechtgesloten zaalkerk uit de 13e eeuw. Boven de westingang een geveltoren met achtzijdige spits. In 1903 is de kerk ingrijpend gerenoveerd waarbij onder andere de Oostgevel is vernieuwd. In het interieur onder andere fragmenten van wandschilderingen, een koorhek met opschrift uit 1549 en een preekstoel uit 1660.</w:t>
      </w:r>
    </w:p>
    <w:p>
      <w:pPr>
        <w:pStyle w:val="T1"/>
        <w:jc w:val="start"/>
        <w:rPr>
          <w:i/>
          <w:i/>
          <w:iCs/>
          <w:lang w:val="nl-NL"/>
        </w:rPr>
      </w:pPr>
      <w:r>
        <w:rPr>
          <w:i/>
          <w:iCs/>
          <w:lang w:val="nl-NL"/>
        </w:rPr>
      </w:r>
    </w:p>
    <w:p>
      <w:pPr>
        <w:pStyle w:val="T1"/>
        <w:jc w:val="start"/>
        <w:rPr>
          <w:lang w:val="nl-NL"/>
        </w:rPr>
      </w:pPr>
      <w:r>
        <w:rPr>
          <w:lang w:val="nl-NL"/>
        </w:rPr>
        <w:t>Kas: 1917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i/>
          <w:i/>
          <w:iCs/>
          <w:lang w:val="nl-NL"/>
        </w:rPr>
      </w:pPr>
      <w:r>
        <w:rPr>
          <w:i/>
          <w:iCs/>
          <w:lang w:val="nl-NL"/>
        </w:rPr>
      </w:r>
    </w:p>
    <w:p>
      <w:pPr>
        <w:pStyle w:val="T3Lit"/>
        <w:rPr>
          <w:b/>
          <w:b/>
          <w:bCs/>
          <w:lang w:val="nl-NL"/>
        </w:rPr>
      </w:pPr>
      <w:r>
        <w:rPr>
          <w:b/>
          <w:bCs/>
          <w:lang w:val="nl-NL"/>
        </w:rPr>
        <w:t>Literatuur</w:t>
      </w:r>
    </w:p>
    <w:p>
      <w:pPr>
        <w:pStyle w:val="T3Lit"/>
        <w:rPr/>
      </w:pPr>
      <w:r>
        <w:rPr>
          <w:lang w:val="nl-NL"/>
        </w:rPr>
        <w:t xml:space="preserve">M. Bootsman, </w:t>
      </w:r>
      <w:r>
        <w:rPr>
          <w:i/>
          <w:iCs/>
          <w:lang w:val="nl-NL"/>
        </w:rPr>
        <w:t>Het oude orgel en de orgeltekst in de kerk van Tinallinge</w:t>
      </w:r>
      <w:r>
        <w:rPr>
          <w:lang w:val="nl-NL"/>
        </w:rPr>
        <w:t>. Tinallinge, 1994.</w:t>
      </w:r>
    </w:p>
    <w:p>
      <w:pPr>
        <w:pStyle w:val="T3Lit"/>
        <w:rPr/>
      </w:pPr>
      <w:r>
        <w:rPr>
          <w:i/>
          <w:iCs/>
          <w:lang w:val="nl-NL"/>
        </w:rPr>
        <w:t>Het Groninger Orgelbezit van Adorp tot Zijldijk, I</w:t>
      </w:r>
      <w:r>
        <w:rPr>
          <w:lang w:val="nl-NL"/>
        </w:rPr>
        <w:t>. Groningen, 1994, 90-91; idem, VI: Aanvulling [periode 1994-2009], (Groningen 2009), 7.</w:t>
      </w:r>
    </w:p>
    <w:p>
      <w:pPr>
        <w:pStyle w:val="T3Lit"/>
        <w:rPr/>
      </w:pPr>
      <w:r>
        <w:rPr>
          <w:lang w:val="nl-NL"/>
        </w:rPr>
        <w:t xml:space="preserve">R. Kouwen, </w:t>
      </w:r>
      <w:r>
        <w:rPr>
          <w:i/>
          <w:iCs/>
          <w:lang w:val="nl-NL"/>
        </w:rPr>
        <w:t>De Nederlandse Hervormde Kerk te Tinallinge</w:t>
      </w:r>
      <w:r>
        <w:rPr>
          <w:lang w:val="nl-NL"/>
        </w:rPr>
        <w:t>. Tolbert, 2004.</w:t>
      </w:r>
    </w:p>
    <w:p>
      <w:pPr>
        <w:pStyle w:val="T3Lit"/>
        <w:rPr>
          <w:lang w:val="nl-NL"/>
        </w:rPr>
      </w:pPr>
      <w:r>
        <w:rPr>
          <w:lang w:val="nl-NL"/>
        </w:rPr>
      </w:r>
    </w:p>
    <w:p>
      <w:pPr>
        <w:pStyle w:val="T3Lit"/>
        <w:rPr>
          <w:b/>
          <w:b/>
          <w:lang w:val="nl-NL"/>
        </w:rPr>
      </w:pPr>
      <w:r>
        <w:rPr>
          <w:b/>
          <w:lang w:val="nl-NL"/>
        </w:rPr>
        <w:t>Niet gepubliceerde bron</w:t>
      </w:r>
    </w:p>
    <w:p>
      <w:pPr>
        <w:pStyle w:val="T3Lit"/>
        <w:rPr>
          <w:lang w:val="nl-NL"/>
        </w:rPr>
      </w:pPr>
      <w:r>
        <w:rPr>
          <w:lang w:val="nl-NL"/>
        </w:rPr>
        <w:t>Dispositieverzameling Johan van Meurs.</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1917</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toonhoogte verlaagd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szCs w:val="22"/>
          <w:lang w:val="nl-NL"/>
        </w:rPr>
        <w:t>Dispositie</w:t>
      </w:r>
      <w:r>
        <w:rPr/>
        <w:t xml:space="preserve"> </w:t>
      </w:r>
    </w:p>
    <w:tbl>
      <w:tblPr>
        <w:tblW w:w="2368" w:type="dxa"/>
        <w:jc w:val="start"/>
        <w:tblInd w:w="0" w:type="dxa"/>
        <w:tblLayout w:type="fixed"/>
        <w:tblCellMar>
          <w:top w:w="0" w:type="dxa"/>
          <w:start w:w="70" w:type="dxa"/>
          <w:bottom w:w="0" w:type="dxa"/>
          <w:end w:w="70" w:type="dxa"/>
        </w:tblCellMar>
      </w:tblPr>
      <w:tblGrid>
        <w:gridCol w:w="1737"/>
        <w:gridCol w:w="631"/>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Fluit</w:t>
            </w:r>
          </w:p>
          <w:p>
            <w:pPr>
              <w:pStyle w:val="T4dispositie"/>
              <w:rPr>
                <w:lang w:val="nl-NL"/>
              </w:rPr>
            </w:pPr>
            <w:r>
              <w:rPr>
                <w:lang w:val="nl-NL"/>
              </w:rPr>
              <w:t>Hobo</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4dispositie"/>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(1917)</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Ten tijde van de oplevering in 1917 was de toonhoogte ruim 1/2 toon boven normaal.</w:t>
      </w:r>
    </w:p>
    <w:p>
      <w:pPr>
        <w:pStyle w:val="T1"/>
        <w:jc w:val="start"/>
        <w:rPr>
          <w:lang w:val="nl-NL"/>
        </w:rPr>
      </w:pPr>
      <w:r>
        <w:rPr>
          <w:lang w:val="nl-NL"/>
        </w:rPr>
        <w:t>De orgelkas is van vuren, geschilderd in imitatie eiken. De magazijnbalg bevindt zich in de onderkas; de balg heeft een inspringende vouw. De windzicht is nog los in het orgel aanwezig.</w:t>
      </w:r>
    </w:p>
    <w:p>
      <w:pPr>
        <w:pStyle w:val="T1"/>
        <w:jc w:val="start"/>
        <w:rPr>
          <w:lang w:val="nl-NL"/>
        </w:rPr>
      </w:pPr>
      <w:r>
        <w:rPr>
          <w:lang w:val="nl-NL"/>
        </w:rPr>
        <w:t>De registerknoppen zijn in een horizontale rij boven de lessenaarbak aangebracht en voorzien van porseleinen naamplaatjes en vierkante eiken trekstokken.</w:t>
      </w:r>
    </w:p>
    <w:p>
      <w:pPr>
        <w:pStyle w:val="T1"/>
        <w:jc w:val="start"/>
        <w:rPr/>
      </w:pPr>
      <w:r>
        <w:rPr>
          <w:lang w:val="nl-NL"/>
        </w:rPr>
        <w:t>De eiken sleeplade wordt met twee inliggende voorslagen afgesloten. De indeling is als volgt: h-C c</w:t>
      </w:r>
      <w:r>
        <w:rPr>
          <w:vertAlign w:val="superscript"/>
          <w:lang w:val="nl-NL"/>
        </w:rPr>
        <w:t>1</w:t>
      </w:r>
      <w:r>
        <w:rPr>
          <w:lang w:val="nl-NL"/>
        </w:rPr>
        <w:t>-f</w:t>
      </w:r>
      <w:r>
        <w:rPr>
          <w:vertAlign w:val="superscript"/>
          <w:lang w:val="nl-NL"/>
        </w:rPr>
        <w:t>3</w:t>
      </w:r>
      <w:r>
        <w:rPr>
          <w:lang w:val="nl-NL"/>
        </w:rPr>
        <w:t>. Onder de lade ligt een eiken walsraam, met 8-kantige grenen walsen en ijzeren walsarmpjes. Voor de Bourdon 16' zijn twee kegelladen met pneumatische tractuur aanwezig.</w:t>
      </w:r>
    </w:p>
    <w:p>
      <w:pPr>
        <w:pStyle w:val="T1"/>
        <w:jc w:val="start"/>
        <w:rPr/>
      </w:pPr>
      <w:r>
        <w:rPr>
          <w:lang w:val="nl-NL"/>
        </w:rPr>
        <w:t>Het pijpwerk is een heterogeen geheel, met veel oud pijpwerk van onbekende herkomst. De Bourdon 16' begint op c; c-h staan tegen de rechter zijwand van de kas en zijn met aluminiumverf beschilderd. De discant staat op een aparte lade. Alle pijpen met baarden. C-c van de Prestant 8' zijn van hout (gedekt) en staan afgevoerd achter het front. Van cis-h</w:t>
      </w:r>
      <w:r>
        <w:rPr>
          <w:vertAlign w:val="superscript"/>
          <w:lang w:val="nl-NL"/>
        </w:rPr>
        <w:t>2</w:t>
      </w:r>
      <w:r>
        <w:rPr>
          <w:lang w:val="nl-NL"/>
        </w:rPr>
        <w:t xml:space="preserve"> staat het register in het front, het vervolg staat op de lade (met expressions). De Gamba 8' is van C-H gecombineerd met de Holpijp; c-h zijn van zink met geperste labia, het vervolg is van metaal met freins. Alle pijpen met expressions. C-H van de Holpijp 8' zijn van hout (gedekt); het vervolg is van metaal in dezelfde factuur als de Bourdon 16. C-Fis van de Octaaf 4' zijn van zink met geperste labia en expressions; het vervolg is van metaal en tot en met gis voorzien van expressions, de andere pijpen met stemkrul. Van de Fluit 4' zijn C-H gedekt (metaal), c-h</w:t>
      </w:r>
      <w:r>
        <w:rPr>
          <w:vertAlign w:val="superscript"/>
          <w:lang w:val="nl-NL"/>
        </w:rPr>
        <w:t>1</w:t>
      </w:r>
      <w:r>
        <w:rPr>
          <w:lang w:val="nl-NL"/>
        </w:rPr>
        <w:t xml:space="preserve"> met roeren, het vervolg open, conisch op lengte afgesneden. Van de Fluit 2' zijn C-f</w:t>
      </w:r>
      <w:r>
        <w:rPr>
          <w:vertAlign w:val="superscript"/>
          <w:lang w:val="nl-NL"/>
        </w:rPr>
        <w:t>1</w:t>
      </w:r>
      <w:r>
        <w:rPr>
          <w:lang w:val="nl-NL"/>
        </w:rPr>
        <w:t xml:space="preserve"> gedekt; het vervolg is open, cilindrisch. De doorslaande Hobo 8' heeft zinken stevels en bekers. De stevels voor dis</w:t>
      </w:r>
      <w:r>
        <w:rPr>
          <w:vertAlign w:val="superscript"/>
          <w:lang w:val="nl-NL"/>
        </w:rPr>
        <w:t>3</w:t>
      </w:r>
      <w:r>
        <w:rPr>
          <w:lang w:val="nl-NL"/>
        </w:rPr>
        <w:t>-f</w:t>
      </w:r>
      <w:r>
        <w:rPr>
          <w:vertAlign w:val="superscript"/>
          <w:lang w:val="nl-NL"/>
        </w:rPr>
        <w:t>3</w:t>
      </w:r>
      <w:r>
        <w:rPr>
          <w:lang w:val="nl-NL"/>
        </w:rPr>
        <w:t xml:space="preserve"> zijn van metaal; de bekers voor c</w:t>
      </w:r>
      <w:r>
        <w:rPr>
          <w:vertAlign w:val="superscript"/>
          <w:lang w:val="nl-NL"/>
        </w:rPr>
        <w:t>3</w:t>
      </w:r>
      <w:r>
        <w:rPr>
          <w:lang w:val="nl-NL"/>
        </w:rPr>
        <w:t>-f</w:t>
      </w:r>
      <w:r>
        <w:rPr>
          <w:vertAlign w:val="superscript"/>
          <w:lang w:val="nl-NL"/>
        </w:rPr>
        <w:t>3</w:t>
      </w:r>
      <w:r>
        <w:rPr>
          <w:lang w:val="nl-NL"/>
        </w:rPr>
        <w:t xml:space="preserve"> hebben dubbele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2010-03-23T16:06:00Z</dcterms:created>
  <dc:creator>WS1</dc:creator>
  <dc:description/>
  <dc:language>en-US</dc:language>
  <cp:lastModifiedBy>NIvO</cp:lastModifiedBy>
  <dcterms:modified xsi:type="dcterms:W3CDTF">2010-03-23T16:09:00Z</dcterms:modified>
  <cp:revision>3</cp:revision>
  <dc:subject/>
  <dc:title>Niekerk (Hunsingo) / 1883</dc:title>
</cp:coreProperties>
</file>