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Streefkerk / 1918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rFonts w:ascii="Times" w:hAnsi="Times" w:cs="Times"/>
          <w:i/>
          <w:i/>
          <w:iCs/>
          <w:lang w:val="nl-NL"/>
        </w:rPr>
      </w:pPr>
      <w:r>
        <w:rPr>
          <w:rFonts w:cs="Times" w:ascii="Times" w:hAnsi="Times"/>
          <w:i/>
          <w:iCs/>
          <w:lang w:val="nl-NL"/>
        </w:rPr>
        <w:t>Kruiskerk met driezijdig gesloten koor, zijkoor en ingebouwde toren van drie geledingen met balustrade en achtzijdige houten lantaarn. De toren werd gebouwd in het tweede kwart van de 15e eeuw en kreeg vermoedelijk een derde geleding bij de bouw van de huidige kerk rond 1500. De huidige achtzijdige lantaarn kwam tot stand bij de herbouw van kerk en toren na een brand 1914, waarbij een tweeklaviers orgel van J.P. Künckel (1787), afkomstig uit de Remonstrantse Kerk te Rotterdam verloren ging.</w:t>
      </w:r>
    </w:p>
    <w:p>
      <w:pPr>
        <w:pStyle w:val="T1"/>
        <w:jc w:val="start"/>
        <w:rPr>
          <w:rFonts w:ascii="Times" w:hAnsi="Times" w:cs="Times"/>
          <w:i/>
          <w:i/>
          <w:iCs/>
          <w:lang w:val="nl-NL"/>
        </w:rPr>
      </w:pPr>
      <w:r>
        <w:rPr>
          <w:rFonts w:cs="Times" w:ascii="Times" w:hAnsi="Times"/>
          <w:i/>
          <w:iCs/>
          <w:lang w:val="nl-NL"/>
        </w:rPr>
      </w:r>
    </w:p>
    <w:p>
      <w:pPr>
        <w:pStyle w:val="T1"/>
        <w:jc w:val="start"/>
        <w:rPr>
          <w:lang w:val="nl-NL"/>
        </w:rPr>
      </w:pPr>
      <w:r>
        <w:rPr>
          <w:lang w:val="nl-NL"/>
        </w:rPr>
        <w:t>Kas: 1918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Voor hun als instrument merendeels verdwenen of sterk gewijzigde éénklaviers pneumatische orgels voor Schiedam (Lutherse Kerk, 1910), Barendrecht (1912), Rhoon (1912) en Hoogvliet (1914, vrijwel compleet bewaard) maakten de Gebr. van der Kley gebruik van een gestandaardiseerd vijfledig frontontwerp met een halfronde middentoren en gedeelde tussenvelden steevast op een hoger niveau dan de flankerende halfronde zijtorens. Standaard zijn deze fronten voorzien van een sobere maar stijlvolle, onderling subtiel verschillende decoratie in neorenaissancetrant. Voor het tweeklaviers instrument met vrij pedaal voor de Gereformeerde Kerk van Feyenoord (1911, thans te Dongen, kas verloren) werd dit basisschema vergroot door de verbrede tussenvelden ook horizontaal te delen, met een achttal kleine tussenveldjes onder elk een afzonderlijke rondboog als resultaat. Het front van Streefkerk is te beschouwen als een variant van dit schema, maar lijkt tegelijkertijd te zijn beïnvloed door Tjeerd Kuipers’ frontontwerp voor het Walcker-orgel (1916) van de Rotterdamse Nieuwe Zuiderkerk, thans te Doesburg. Aan dit voorbeeld lijkt duidelijk de idee ontleend het middentorenbasement inclusief console op halve fronthoogte te plaatsen. Onder deze console zijn twee minuscule boogveldjes aangebracht die in aansluiting op de naastgelegen veldjes het Rotterdamse schijnpositief lijken te willen herhalen. De flankerende veldjes vormen tegelijkertijd onderdeel van de elk tweeledig onder geschakelde rondbogen ondergebrachte tussenvelden, waarvan alleen de binnenste segmenten verticaal gedeeld zijn en waarmee de veldindeling van het bovendeel van het Nieuwe Zuiderkerkfront lijkt te worden herhaald. De oplopende labiumlijn in de buitenste tussenveldsegmenten verzorgt hier de aansluiting met de flankerende zijtorens, de pijpaantallen en het labiumverloop in de drie torens komen overeen met de situatie in Doesburg. Ook de koepelvormige torenbekroningen, hier van cassetten voorzien, roepen op het eerste gezicht herinneringen op aan de Nieuwe Zuiderkerk, maar zijn ook al aanwezig bij het oudere Van der Kley-front te Barendrecht (1912). Ze worden in Streefkerk beantwoord in de eveneens van cassetten voorziene torenconsoles, elk op een kolonnet geplaatst. De kroonlijsten van velden en torens hebben hier nog een klassieke profilering, ook het hoge frontbasement is klassiek opgezet met architraaf, hoog drieledig rondboogfries en kroonlijst. De geschakelde rondbogen in de tussenvelden rusten op pilasters met gestileerde kapitelen, de impostlijsten in de verticaal gedeelde veldsegmenten zijn met knopmotieven gedecoreerd. De torenstijlen zijn voorzien van cannelures, de gelede buitenste zijstijlen lopen uit in radvormige vleugelstukken op de balustrade. Naast de middentoren zijn gestileerde voluutvormen aangebracht. De contourwerking van frontopbouw en -decoratie worden door vergulde lijsten geaccentueerd. Een opmerkelijk contrast tot het traditionalistisch vormgegeven front vormt het drietal stutten onder de balustrade met kapitelen in meer expressionistische trant op basis van driehoeksvormen.</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rFonts w:ascii="Times" w:hAnsi="Times" w:cs="Times"/>
          <w:lang w:val="nl-NL"/>
        </w:rPr>
      </w:pPr>
      <w:r>
        <w:rPr>
          <w:rFonts w:cs="Times" w:ascii="Times" w:hAnsi="Times"/>
          <w:lang w:val="nl-NL"/>
        </w:rPr>
        <w:t>J. &amp; G. van der Kley</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Jaar van oplevering</w:t>
      </w:r>
    </w:p>
    <w:p>
      <w:pPr>
        <w:pStyle w:val="T1"/>
        <w:jc w:val="start"/>
        <w:rPr>
          <w:rFonts w:ascii="Times" w:hAnsi="Times" w:cs="Times"/>
          <w:lang w:val="nl-NL"/>
        </w:rPr>
      </w:pPr>
      <w:r>
        <w:rPr>
          <w:rFonts w:cs="Times" w:ascii="Times" w:hAnsi="Times"/>
          <w:lang w:val="nl-NL"/>
        </w:rPr>
        <w:t xml:space="preserve">1918 </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H.W. Standaart 1946</w:t>
      </w:r>
    </w:p>
    <w:p>
      <w:pPr>
        <w:pStyle w:val="T1"/>
        <w:numPr>
          <w:ilvl w:val="0"/>
          <w:numId w:val="2"/>
        </w:numPr>
        <w:jc w:val="start"/>
        <w:rPr>
          <w:rFonts w:ascii="Times" w:hAnsi="Times" w:cs="Times"/>
          <w:lang w:val="nl-NL"/>
        </w:rPr>
      </w:pPr>
      <w:r>
        <w:rPr>
          <w:rFonts w:cs="Times" w:ascii="Times" w:hAnsi="Times"/>
          <w:lang w:val="nl-NL"/>
        </w:rPr>
        <w:t>schoonmaak en herstel</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Onbekend moment</w:t>
      </w:r>
    </w:p>
    <w:p>
      <w:pPr>
        <w:pStyle w:val="T1"/>
        <w:numPr>
          <w:ilvl w:val="0"/>
          <w:numId w:val="2"/>
        </w:numPr>
        <w:jc w:val="start"/>
        <w:rPr/>
      </w:pPr>
      <w:r>
        <w:rPr>
          <w:rFonts w:cs="Times" w:ascii="Times" w:hAnsi="Times"/>
          <w:lang w:val="nl-NL"/>
        </w:rPr>
        <w:t>NW - onbekend register, + Kwint 2 2/3</w:t>
      </w:r>
      <w:r>
        <w:rPr>
          <w:lang w:val="nl-NL"/>
        </w:rPr>
        <w:t>'</w:t>
      </w:r>
      <w:r>
        <w:rPr>
          <w:rFonts w:cs="Times" w:ascii="Times" w:hAnsi="Times"/>
          <w:lang w:val="nl-NL"/>
        </w:rPr>
        <w:t>, + Terts 1 3/5</w:t>
      </w:r>
      <w:r>
        <w:rPr>
          <w:lang w:val="nl-NL"/>
        </w:rPr>
        <w:t>'</w:t>
      </w:r>
      <w:r>
        <w:rPr>
          <w:rFonts w:cs="Times" w:ascii="Times" w:hAnsi="Times"/>
          <w:lang w:val="nl-NL"/>
        </w:rPr>
        <w:t xml:space="preserve"> op aanvullende cancel</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H.B. Scheuerman 1981</w:t>
      </w:r>
    </w:p>
    <w:p>
      <w:pPr>
        <w:pStyle w:val="T1"/>
        <w:numPr>
          <w:ilvl w:val="0"/>
          <w:numId w:val="2"/>
        </w:numPr>
        <w:jc w:val="start"/>
        <w:rPr>
          <w:rFonts w:ascii="Times" w:hAnsi="Times" w:cs="Times"/>
          <w:lang w:val="nl-NL"/>
        </w:rPr>
      </w:pPr>
      <w:r>
        <w:rPr>
          <w:rFonts w:cs="Times" w:ascii="Times" w:hAnsi="Times"/>
          <w:lang w:val="nl-NL"/>
        </w:rPr>
        <w:t>renovatie</w:t>
      </w:r>
    </w:p>
    <w:p>
      <w:pPr>
        <w:pStyle w:val="T1"/>
        <w:numPr>
          <w:ilvl w:val="0"/>
          <w:numId w:val="3"/>
        </w:numPr>
        <w:jc w:val="start"/>
        <w:rPr>
          <w:rFonts w:ascii="Times" w:hAnsi="Times" w:cs="Times"/>
          <w:lang w:val="nl-NL"/>
        </w:rPr>
      </w:pPr>
      <w:r>
        <w:rPr>
          <w:rFonts w:cs="Times" w:ascii="Times" w:hAnsi="Times"/>
          <w:lang w:val="nl-NL"/>
        </w:rPr>
        <w:t>tractuur geëlektrificeerd; speeltafelinterieur vernieuwd</w:t>
      </w:r>
    </w:p>
    <w:p>
      <w:pPr>
        <w:pStyle w:val="T1"/>
        <w:numPr>
          <w:ilvl w:val="0"/>
          <w:numId w:val="3"/>
        </w:numPr>
        <w:jc w:val="start"/>
        <w:rPr>
          <w:rFonts w:ascii="Times" w:hAnsi="Times" w:cs="Times"/>
          <w:lang w:val="nl-NL"/>
        </w:rPr>
      </w:pPr>
      <w:r>
        <w:rPr>
          <w:rFonts w:cs="Times" w:ascii="Times" w:hAnsi="Times"/>
          <w:lang w:val="nl-NL"/>
        </w:rPr>
        <w:t>NW + registerkoppeling ‘Sesquialter’</w:t>
      </w:r>
    </w:p>
    <w:p>
      <w:pPr>
        <w:pStyle w:val="T1"/>
        <w:jc w:val="start"/>
        <w:rPr>
          <w:rFonts w:ascii="Times" w:hAnsi="Times" w:cs="Times"/>
          <w:lang w:val="nl-NL"/>
        </w:rPr>
      </w:pPr>
      <w:r>
        <w:rPr>
          <w:rFonts w:cs="Times" w:ascii="Times" w:hAnsi="Times"/>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475"/>
        <w:gridCol w:w="766"/>
        <w:gridCol w:w="1609"/>
        <w:gridCol w:w="720"/>
        <w:gridCol w:w="1074"/>
        <w:gridCol w:w="906"/>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Kwint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r>
              <w:rPr/>
              <w:t>'</w:t>
            </w:r>
          </w:p>
          <w:p>
            <w:pPr>
              <w:pStyle w:val="T4dispositie"/>
              <w:rPr>
                <w:lang w:val="nl-NL"/>
              </w:rPr>
            </w:pPr>
            <w:r>
              <w:rPr>
                <w:lang w:val="nl-NL"/>
              </w:rPr>
              <w:t>2</w:t>
            </w:r>
            <w:r>
              <w:rPr/>
              <w:t>'</w:t>
            </w:r>
          </w:p>
          <w:p>
            <w:pPr>
              <w:pStyle w:val="T4dispositie"/>
              <w:rPr>
                <w:lang w:val="nl-NL"/>
              </w:rPr>
            </w:pPr>
            <w:r>
              <w:rPr>
                <w:lang w:val="nl-NL"/>
              </w:rPr>
              <w:t>3-4 st.</w:t>
            </w:r>
          </w:p>
          <w:p>
            <w:pPr>
              <w:pStyle w:val="T4dispositie"/>
              <w:rPr>
                <w:lang w:val="nl-NL"/>
              </w:rPr>
            </w:pPr>
            <w:r>
              <w:rPr>
                <w:lang w:val="nl-NL"/>
              </w:rPr>
              <w:t>4 st.</w:t>
            </w:r>
          </w:p>
          <w:p>
            <w:pPr>
              <w:pStyle w:val="T4dispositie"/>
              <w:rPr>
                <w:lang w:val="nl-NL"/>
              </w:rPr>
            </w:pPr>
            <w:r>
              <w:rPr>
                <w:lang w:val="nl-NL"/>
              </w:rPr>
              <w:t>8</w:t>
            </w:r>
            <w:r>
              <w:rPr/>
              <w:t>'</w:t>
            </w:r>
          </w:p>
        </w:tc>
        <w:tc>
          <w:tcPr>
            <w:tcW w:w="1609" w:type="dxa"/>
            <w:tcBorders/>
          </w:tcPr>
          <w:p>
            <w:pPr>
              <w:pStyle w:val="T4dispositie"/>
              <w:rPr>
                <w:i/>
                <w:i/>
                <w:iCs/>
                <w:lang w:val="nl-NL"/>
              </w:rPr>
            </w:pPr>
            <w:r>
              <w:rPr>
                <w:i/>
                <w:iCs/>
                <w:lang w:val="nl-NL"/>
              </w:rPr>
              <w:t>Zwelwerk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Salicet</w:t>
            </w:r>
          </w:p>
          <w:p>
            <w:pPr>
              <w:pStyle w:val="T4dispositie"/>
              <w:rPr>
                <w:lang w:val="nl-NL"/>
              </w:rPr>
            </w:pPr>
            <w:r>
              <w:rPr>
                <w:lang w:val="nl-NL"/>
              </w:rPr>
              <w:t>Celeste</w:t>
            </w:r>
          </w:p>
          <w:p>
            <w:pPr>
              <w:pStyle w:val="T4dispositie"/>
              <w:rPr>
                <w:lang w:val="nl-NL"/>
              </w:rPr>
            </w:pPr>
            <w:r>
              <w:rPr>
                <w:lang w:val="nl-NL"/>
              </w:rPr>
              <w:t>Openfluit</w:t>
            </w:r>
          </w:p>
          <w:p>
            <w:pPr>
              <w:pStyle w:val="T4dispositie"/>
              <w:rPr>
                <w:lang w:val="nl-NL"/>
              </w:rPr>
            </w:pPr>
            <w:r>
              <w:rPr>
                <w:lang w:val="nl-NL"/>
              </w:rPr>
              <w:t>Kwint</w:t>
            </w:r>
          </w:p>
          <w:p>
            <w:pPr>
              <w:pStyle w:val="T4dispositie"/>
              <w:rPr>
                <w:lang w:val="nl-NL"/>
              </w:rPr>
            </w:pPr>
            <w:r>
              <w:rPr>
                <w:lang w:val="nl-NL"/>
              </w:rPr>
              <w:t>Piccolo</w:t>
            </w:r>
          </w:p>
          <w:p>
            <w:pPr>
              <w:pStyle w:val="T4dispositie"/>
              <w:rPr>
                <w:lang w:val="nl-NL"/>
              </w:rPr>
            </w:pPr>
            <w:r>
              <w:rPr>
                <w:lang w:val="nl-NL"/>
              </w:rPr>
              <w:t>Terts</w:t>
            </w:r>
          </w:p>
          <w:p>
            <w:pPr>
              <w:pStyle w:val="T4dispositie"/>
              <w:rPr>
                <w:lang w:val="nl-NL"/>
              </w:rPr>
            </w:pPr>
            <w:r>
              <w:rPr>
                <w:lang w:val="nl-NL"/>
              </w:rPr>
              <w:t>Sesquialter*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r>
              <w:rPr/>
              <w:t>'</w:t>
            </w:r>
          </w:p>
          <w:p>
            <w:pPr>
              <w:pStyle w:val="T4dispositie"/>
              <w:rPr>
                <w:lang w:val="nl-NL"/>
              </w:rPr>
            </w:pPr>
            <w:r>
              <w:rPr>
                <w:lang w:val="nl-NL"/>
              </w:rPr>
              <w:t>2</w:t>
            </w:r>
            <w:r>
              <w:rPr/>
              <w:t>'</w:t>
            </w:r>
          </w:p>
          <w:p>
            <w:pPr>
              <w:pStyle w:val="T4dispositie"/>
              <w:rPr>
                <w:lang w:val="nl-NL"/>
              </w:rPr>
            </w:pPr>
            <w:r>
              <w:rPr>
                <w:lang w:val="nl-NL"/>
              </w:rPr>
              <w:t>1 3/5</w:t>
            </w:r>
            <w:r>
              <w:rPr/>
              <w:t>'</w:t>
            </w:r>
          </w:p>
          <w:p>
            <w:pPr>
              <w:pStyle w:val="T4dispositie"/>
              <w:rPr>
                <w:lang w:val="nl-NL"/>
              </w:rPr>
            </w:pPr>
            <w:r>
              <w:rPr>
                <w:lang w:val="nl-NL"/>
              </w:rPr>
              <w:t>2 st.</w:t>
            </w:r>
          </w:p>
        </w:tc>
        <w:tc>
          <w:tcPr>
            <w:tcW w:w="1074"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Cello</w:t>
            </w:r>
          </w:p>
        </w:tc>
        <w:tc>
          <w:tcPr>
            <w:tcW w:w="90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bedient Kwint en Terts gezamenlijk</w:t>
      </w:r>
    </w:p>
    <w:p>
      <w:pPr>
        <w:pStyle w:val="T4dispositie"/>
        <w:rPr>
          <w:lang w:val="nl-NL"/>
        </w:rPr>
      </w:pPr>
      <w:r>
        <w:rPr>
          <w:lang w:val="nl-NL"/>
        </w:rPr>
      </w:r>
    </w:p>
    <w:p>
      <w:pPr>
        <w:pStyle w:val="T1"/>
        <w:jc w:val="start"/>
        <w:rPr>
          <w:lang w:val="nl-NL"/>
        </w:rPr>
      </w:pPr>
      <w:r>
        <w:rPr>
          <w:lang w:val="nl-NL"/>
        </w:rPr>
        <w:t>Werktuiglijke registers</w:t>
      </w:r>
    </w:p>
    <w:p>
      <w:pPr>
        <w:pStyle w:val="T1"/>
        <w:jc w:val="start"/>
        <w:rPr>
          <w:rFonts w:ascii="Times" w:hAnsi="Times" w:cs="Times"/>
          <w:lang w:val="nl-NL"/>
        </w:rPr>
      </w:pPr>
      <w:r>
        <w:rPr>
          <w:rFonts w:cs="Times" w:ascii="Times" w:hAnsi="Times"/>
          <w:lang w:val="nl-NL"/>
        </w:rPr>
        <w:t>Koppelingen HW-ZwW, Ped-HW, Ped-ZwW</w:t>
      </w:r>
    </w:p>
    <w:p>
      <w:pPr>
        <w:pStyle w:val="T1"/>
        <w:jc w:val="start"/>
        <w:rPr>
          <w:rFonts w:ascii="Times" w:hAnsi="Times" w:cs="Times"/>
          <w:lang w:val="nl-NL"/>
        </w:rPr>
      </w:pPr>
      <w:r>
        <w:rPr>
          <w:rFonts w:cs="Times" w:ascii="Times" w:hAnsi="Times"/>
          <w:lang w:val="nl-NL"/>
        </w:rPr>
        <w:t>tremulant ZwW</w:t>
      </w:r>
    </w:p>
    <w:p>
      <w:pPr>
        <w:pStyle w:val="T1"/>
        <w:jc w:val="start"/>
        <w:rPr>
          <w:rFonts w:ascii="Times" w:hAnsi="Times" w:cs="Times"/>
          <w:lang w:val="nl-NL"/>
        </w:rPr>
      </w:pPr>
      <w:r>
        <w:rPr>
          <w:rFonts w:cs="Times" w:ascii="Times" w:hAnsi="Times"/>
          <w:lang w:val="nl-NL"/>
        </w:rPr>
        <w:t>vrije combinatie</w:t>
      </w:r>
    </w:p>
    <w:p>
      <w:pPr>
        <w:pStyle w:val="T1"/>
        <w:jc w:val="start"/>
        <w:rPr>
          <w:rFonts w:ascii="Times" w:hAnsi="Times" w:cs="Times"/>
          <w:lang w:val="nl-NL"/>
        </w:rPr>
      </w:pPr>
      <w:r>
        <w:rPr>
          <w:rFonts w:cs="Times" w:ascii="Times" w:hAnsi="Times"/>
          <w:lang w:val="nl-NL"/>
        </w:rPr>
        <w:t>vaste combinaties P-MF-F-T-Oplosser</w:t>
      </w:r>
    </w:p>
    <w:p>
      <w:pPr>
        <w:pStyle w:val="T1"/>
        <w:jc w:val="start"/>
        <w:rPr>
          <w:rFonts w:ascii="Times" w:hAnsi="Times" w:cs="Times"/>
          <w:lang w:val="nl-NL"/>
        </w:rPr>
      </w:pPr>
      <w:r>
        <w:rPr>
          <w:rFonts w:cs="Times" w:ascii="Times" w:hAnsi="Times"/>
          <w:lang w:val="nl-NL"/>
        </w:rPr>
        <w:t>basculetrede ZwW</w:t>
      </w:r>
    </w:p>
    <w:p>
      <w:pPr>
        <w:pStyle w:val="T1"/>
        <w:jc w:val="start"/>
        <w:rPr>
          <w:rFonts w:ascii="Times" w:hAnsi="Times" w:cs="Times"/>
          <w:lang w:val="nl-NL"/>
        </w:rPr>
      </w:pPr>
      <w:r>
        <w:rPr>
          <w:rFonts w:cs="Times" w:ascii="Times" w:hAnsi="Times"/>
          <w:lang w:val="nl-NL"/>
        </w:rPr>
        <w:t>basculetrede generaal crescendo</w:t>
      </w:r>
    </w:p>
    <w:p>
      <w:pPr>
        <w:pStyle w:val="T1"/>
        <w:jc w:val="start"/>
        <w:rPr>
          <w:rFonts w:ascii="Times" w:hAnsi="Times" w:cs="Times"/>
          <w:lang w:val="nl-NL"/>
        </w:rPr>
      </w:pPr>
      <w:r>
        <w:rPr>
          <w:rFonts w:cs="Times" w:ascii="Times" w:hAnsi="Times"/>
          <w:lang w:val="nl-NL"/>
        </w:rPr>
      </w:r>
    </w:p>
    <w:p>
      <w:pPr>
        <w:pStyle w:val="T1"/>
        <w:jc w:val="start"/>
        <w:rPr>
          <w:lang w:val="nl-NL"/>
        </w:rPr>
      </w:pPr>
      <w:r>
        <w:rPr>
          <w:lang w:val="nl-NL"/>
        </w:rPr>
        <w:t>Samenstelling vulstemmen</w:t>
      </w:r>
    </w:p>
    <w:tbl>
      <w:tblPr>
        <w:tblW w:w="4613" w:type="dxa"/>
        <w:jc w:val="start"/>
        <w:tblInd w:w="-70" w:type="dxa"/>
        <w:tblLayout w:type="fixed"/>
        <w:tblCellMar>
          <w:top w:w="0" w:type="dxa"/>
          <w:start w:w="70" w:type="dxa"/>
          <w:bottom w:w="0" w:type="dxa"/>
          <w:end w:w="70" w:type="dxa"/>
        </w:tblCellMar>
      </w:tblPr>
      <w:tblGrid>
        <w:gridCol w:w="1023"/>
        <w:gridCol w:w="718"/>
        <w:gridCol w:w="718"/>
        <w:gridCol w:w="718"/>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r>
        <w:rPr>
          <w:lang w:val="nl-NL"/>
        </w:rPr>
        <w:t xml:space="preserve"> (lade C-f</w:t>
      </w:r>
      <w:r>
        <w:rPr>
          <w:vertAlign w:val="superscript"/>
          <w:lang w:val="nl-NL"/>
        </w:rPr>
        <w:t>3</w:t>
      </w:r>
      <w:r>
        <w:rPr>
          <w:lang w:val="nl-NL"/>
        </w:rPr>
        <w:t>)</w:t>
      </w:r>
    </w:p>
    <w:p>
      <w:pPr>
        <w:pStyle w:val="T1"/>
        <w:jc w:val="start"/>
        <w:rPr>
          <w:lang w:val="nl-NL"/>
        </w:rPr>
      </w:pPr>
      <w:r>
        <w:rPr>
          <w:lang w:val="nl-NL"/>
        </w:rPr>
        <w:t>Pedaalomvang</w:t>
      </w:r>
    </w:p>
    <w:p>
      <w:pPr>
        <w:pStyle w:val="T1"/>
        <w:jc w:val="start"/>
        <w:rPr>
          <w:vertAlign w:val="superscript"/>
          <w:lang w:val="nl-NL"/>
        </w:rPr>
      </w:pPr>
      <w:r>
        <w:rPr>
          <w:lang w:val="nl-NL"/>
        </w:rPr>
        <w:t>C-f</w:t>
      </w:r>
      <w:r>
        <w:rPr>
          <w:vertAlign w:val="superscript"/>
          <w:lang w:val="nl-NL"/>
        </w:rPr>
        <w:t>1</w:t>
      </w:r>
      <w:r>
        <w:rPr>
          <w:lang w:val="nl-NL"/>
        </w:rPr>
        <w:t xml:space="preserve"> (lade C-d</w:t>
      </w:r>
      <w:r>
        <w:rPr>
          <w:vertAlign w:val="superscript"/>
          <w:lang w:val="nl-NL"/>
        </w:rPr>
        <w:t>1</w:t>
      </w:r>
      <w:r>
        <w:rPr>
          <w:lang w:val="nl-NL"/>
        </w:rPr>
        <w:t>)</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regulateur</w:t>
      </w:r>
    </w:p>
    <w:p>
      <w:pPr>
        <w:pStyle w:val="T1"/>
        <w:jc w:val="start"/>
        <w:rPr>
          <w:lang w:val="nl-NL"/>
        </w:rPr>
      </w:pPr>
      <w:r>
        <w:rPr>
          <w:lang w:val="nl-NL"/>
        </w:rPr>
        <w:t>Winddruk</w:t>
      </w:r>
    </w:p>
    <w:p>
      <w:pPr>
        <w:pStyle w:val="T1"/>
        <w:jc w:val="start"/>
        <w:rPr>
          <w:lang w:val="nl-NL"/>
        </w:rPr>
      </w:pPr>
      <w:r>
        <w:rPr>
          <w:lang w:val="nl-NL"/>
        </w:rPr>
        <w:t>86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rFonts w:cs="Times" w:ascii="Times" w:hAnsi="Times"/>
          <w:lang w:val="nl-NL"/>
        </w:rPr>
        <w:t>Bij de elektrificatie in 1982 verloor dit kegelladenorgel de originele speeltafel en pneumatische tractuur. Windvoorziening, laden en dispositie bleven grotendeels intact. De windladen voor HW en ZwW bevinden zich achter elkaar, gescheiden door een stemgang, de magazijnbalg en regulateurbalg bevinden zich naast elkaar onder de HW-lade. Beide laden zijn ingedeeld in hele tonen vanuit het midden aflopend met vanuit de kerk gezien de C-zijde links. Voor de frontpijpen en voor C-f van de Bourdon 16</w:t>
      </w:r>
      <w:r>
        <w:rPr>
          <w:lang w:val="nl-NL"/>
        </w:rPr>
        <w:t>'</w:t>
      </w:r>
      <w:r>
        <w:rPr>
          <w:rFonts w:cs="Times" w:ascii="Times" w:hAnsi="Times"/>
          <w:lang w:val="nl-NL"/>
        </w:rPr>
        <w:t xml:space="preserve"> is een drietal hulpladen achter het front aanwezig, dat nog via conducten uit de HW-lade pneumatisch wordt aangestuurd. Voor het Ped zijn een afzonderlijke C- en Cislade aanwezig, opgesteld achter de zijtorens in hele tonen aflopend richting front met de C-lade rechts en per lade de Subbas 16</w:t>
      </w:r>
      <w:r>
        <w:rPr>
          <w:lang w:val="nl-NL"/>
        </w:rPr>
        <w:t>'</w:t>
      </w:r>
      <w:r>
        <w:rPr>
          <w:rFonts w:cs="Times" w:ascii="Times" w:hAnsi="Times"/>
          <w:lang w:val="nl-NL"/>
        </w:rPr>
        <w:t xml:space="preserve"> in het midden en de Cello 8</w:t>
      </w:r>
      <w:r>
        <w:rPr>
          <w:lang w:val="nl-NL"/>
        </w:rPr>
        <w:t>'</w:t>
      </w:r>
      <w:r>
        <w:rPr>
          <w:rFonts w:cs="Times" w:ascii="Times" w:hAnsi="Times"/>
          <w:lang w:val="nl-NL"/>
        </w:rPr>
        <w:t xml:space="preserve"> langs de zijwanden. In het front spreken C-A (zijtorens) en B-H (grootste pijp buitenste tussenvelden) van de Prestant 8</w:t>
      </w:r>
      <w:r>
        <w:rPr>
          <w:lang w:val="nl-NL"/>
        </w:rPr>
        <w:t>'</w:t>
      </w:r>
      <w:r>
        <w:rPr>
          <w:rFonts w:cs="Times" w:ascii="Times" w:hAnsi="Times"/>
          <w:lang w:val="nl-NL"/>
        </w:rPr>
        <w:t>. Grenen pijpwerk met eiken voorslagen is toegepast voor C-h van de Bourdon 16</w:t>
      </w:r>
      <w:r>
        <w:rPr/>
        <w:t>'</w:t>
      </w:r>
      <w:r>
        <w:rPr>
          <w:rFonts w:cs="Times" w:ascii="Times" w:hAnsi="Times"/>
          <w:lang w:val="nl-NL"/>
        </w:rPr>
        <w:t>, C-H van Holpijp 8</w:t>
      </w:r>
      <w:r>
        <w:rPr/>
        <w:t>'</w:t>
      </w:r>
      <w:r>
        <w:rPr>
          <w:rFonts w:cs="Times" w:ascii="Times" w:hAnsi="Times"/>
          <w:lang w:val="nl-NL"/>
        </w:rPr>
        <w:t>, Roerfluit 8</w:t>
      </w:r>
      <w:r>
        <w:rPr/>
        <w:t>'</w:t>
      </w:r>
      <w:r>
        <w:rPr>
          <w:rFonts w:cs="Times" w:ascii="Times" w:hAnsi="Times"/>
          <w:lang w:val="nl-NL"/>
        </w:rPr>
        <w:t xml:space="preserve"> en Salicet 8</w:t>
      </w:r>
      <w:r>
        <w:rPr/>
        <w:t>'</w:t>
      </w:r>
      <w:r>
        <w:rPr>
          <w:rFonts w:cs="Times" w:ascii="Times" w:hAnsi="Times"/>
          <w:lang w:val="nl-NL"/>
        </w:rPr>
        <w:t xml:space="preserve"> (open met houten stemschuiven) en voor het volledige Ped (Octaaf 8</w:t>
      </w:r>
      <w:r>
        <w:rPr/>
        <w:t>'</w:t>
      </w:r>
      <w:r>
        <w:rPr>
          <w:rFonts w:cs="Times" w:ascii="Times" w:hAnsi="Times"/>
          <w:lang w:val="nl-NL"/>
        </w:rPr>
        <w:t xml:space="preserve"> en Cello 8</w:t>
      </w:r>
      <w:r>
        <w:rPr/>
        <w:t>'</w:t>
      </w:r>
      <w:r>
        <w:rPr>
          <w:rFonts w:cs="Times" w:ascii="Times" w:hAnsi="Times"/>
          <w:lang w:val="nl-NL"/>
        </w:rPr>
        <w:t xml:space="preserve"> open met houten stemschuiven t/m f respectievelijk gis en metalen stemlappen vanaf fis respectievelijk. a). Het overige pijpwerk is integraal van orgelmetaal en bestaat uit toegeleverd materiaal met merendeels geperste labia.</w:t>
      </w:r>
    </w:p>
    <w:p>
      <w:pPr>
        <w:pStyle w:val="T1"/>
        <w:jc w:val="start"/>
        <w:rPr/>
      </w:pPr>
      <w:r>
        <w:rPr>
          <w:lang w:val="nl-NL"/>
        </w:rPr>
        <w:t>De Celeste 8</w:t>
      </w:r>
      <w:r>
        <w:rPr/>
        <w:t>'</w:t>
      </w:r>
      <w:r>
        <w:rPr>
          <w:lang w:val="nl-NL"/>
        </w:rPr>
        <w:t xml:space="preserve"> ZwW begint op c. </w:t>
      </w:r>
      <w:r>
        <w:rPr/>
        <w:t>Salicet8'</w:t>
      </w:r>
      <w:r>
        <w:rPr>
          <w:lang w:val="nl-NL"/>
        </w:rPr>
        <w:t xml:space="preserve"> en Celeste 8</w:t>
      </w:r>
      <w:r>
        <w:rPr/>
        <w:t>'</w:t>
      </w:r>
      <w:r>
        <w:rPr>
          <w:lang w:val="nl-NL"/>
        </w:rPr>
        <w:t xml:space="preserve"> zijn tot en met f</w:t>
      </w:r>
      <w:r>
        <w:rPr>
          <w:vertAlign w:val="superscript"/>
          <w:lang w:val="nl-NL"/>
        </w:rPr>
        <w:t>3</w:t>
      </w:r>
      <w:r>
        <w:rPr>
          <w:lang w:val="nl-NL"/>
        </w:rPr>
        <w:t xml:space="preserve"> voorzien van expressions en hebben freins voor c-h, schuine kastbaarden voor c</w:t>
      </w:r>
      <w:r>
        <w:rPr>
          <w:vertAlign w:val="superscript"/>
          <w:lang w:val="nl-NL"/>
        </w:rPr>
        <w:t>1</w:t>
      </w:r>
      <w:r>
        <w:rPr>
          <w:lang w:val="nl-NL"/>
        </w:rPr>
        <w:t>-h</w:t>
      </w:r>
      <w:r>
        <w:rPr>
          <w:vertAlign w:val="superscript"/>
          <w:lang w:val="nl-NL"/>
        </w:rPr>
        <w:t xml:space="preserve">2 </w:t>
      </w:r>
      <w:r>
        <w:rPr>
          <w:lang w:val="nl-NL"/>
        </w:rPr>
        <w:t>en zijbaarden voor c</w:t>
      </w:r>
      <w:r>
        <w:rPr>
          <w:vertAlign w:val="superscript"/>
          <w:lang w:val="nl-NL"/>
        </w:rPr>
        <w:t>3</w:t>
      </w:r>
      <w:r>
        <w:rPr>
          <w:lang w:val="nl-NL"/>
        </w:rPr>
        <w:t>-f</w:t>
      </w:r>
      <w:r>
        <w:rPr>
          <w:vertAlign w:val="superscript"/>
          <w:lang w:val="nl-NL"/>
        </w:rPr>
        <w:t>3</w:t>
      </w:r>
      <w:r>
        <w:rPr>
          <w:lang w:val="nl-NL"/>
        </w:rPr>
        <w:t>. C-h van de Openfluit 4' zijn cilindrisch open met zijbaarden en expressions, c</w:t>
      </w:r>
      <w:r>
        <w:rPr>
          <w:vertAlign w:val="superscript"/>
          <w:lang w:val="nl-NL"/>
        </w:rPr>
        <w:t>1</w:t>
      </w:r>
      <w:r>
        <w:rPr>
          <w:lang w:val="nl-NL"/>
        </w:rPr>
        <w:t>-f</w:t>
      </w:r>
      <w:r>
        <w:rPr>
          <w:vertAlign w:val="superscript"/>
          <w:lang w:val="nl-NL"/>
        </w:rPr>
        <w:t>3</w:t>
      </w:r>
      <w:r>
        <w:rPr>
          <w:lang w:val="nl-NL"/>
        </w:rPr>
        <w:t xml:space="preserve"> zijn overblazend met bolrond voorstaande bovenlabia en expressions. De cilindrisch open Picolo 2' heeft eveneens bolrond voorstaande bovenlabia. Het open labiaalpijpwerk van 1918 inclusief Mixtuur en Cornet (op de lade) heeft expressions tot 1/3'-lengte en vervolgens stemkrullen tot 1/4'/lengte. Kwint 2 2/3' en Terts 1 3/5' ZwW zijn van latere makelij (spotted metal) met stemkrullen tot en met e</w:t>
      </w:r>
      <w:r>
        <w:rPr>
          <w:vertAlign w:val="superscript"/>
          <w:lang w:val="nl-NL"/>
        </w:rPr>
        <w:t>2</w:t>
      </w:r>
      <w:r>
        <w:rPr>
          <w:lang w:val="nl-NL"/>
        </w:rPr>
        <w:t xml:space="preserve"> resp g</w:t>
      </w:r>
      <w:r>
        <w:rPr>
          <w:vertAlign w:val="superscript"/>
          <w:lang w:val="nl-NL"/>
        </w:rPr>
        <w:t>1</w:t>
      </w:r>
      <w:r>
        <w:rPr>
          <w:lang w:val="nl-NL"/>
        </w:rPr>
        <w:t>. Voor de Terts 1 3/5' is een aanvullende registercancel geplaatst. De Trompet 8' heeft metalen stevels, koppen en bekers, c</w:t>
      </w:r>
      <w:r>
        <w:rPr>
          <w:vertAlign w:val="superscript"/>
          <w:lang w:val="nl-NL"/>
        </w:rPr>
        <w:t>3</w:t>
      </w:r>
      <w:r>
        <w:rPr>
          <w:lang w:val="nl-NL"/>
        </w:rPr>
        <w:t>-f</w:t>
      </w:r>
      <w:r>
        <w:rPr>
          <w:vertAlign w:val="superscript"/>
          <w:lang w:val="nl-NL"/>
        </w:rPr>
        <w:t>3</w:t>
      </w:r>
      <w:r>
        <w:rPr>
          <w:lang w:val="nl-NL"/>
        </w:rPr>
        <w:t xml:space="preserve"> hebben dubbele bekerlengte.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lang w:val="nl-NL"/>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cs="Times New Roman"/>
      <w:b w:val="false"/>
      <w:i w:val="false"/>
      <w:sz w:val="24"/>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2010-03-19T23:16:00Z</dcterms:created>
  <dc:creator>WS1</dc:creator>
  <dc:description/>
  <dc:language>en-US</dc:language>
  <cp:lastModifiedBy>Hans</cp:lastModifiedBy>
  <dcterms:modified xsi:type="dcterms:W3CDTF">2010-03-19T23:16:00Z</dcterms:modified>
  <cp:revision>2</cp:revision>
  <dc:subject/>
  <dc:title>Almkerk / 1877</dc:title>
</cp:coreProperties>
</file>