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jc w:val="both"/>
        <w:rPr/>
      </w:pPr>
      <w:r>
        <w:rPr/>
        <w:t>Munnekezijl / 1920</w:t>
      </w:r>
    </w:p>
    <w:p>
      <w:pPr>
        <w:pStyle w:val="Heading2"/>
        <w:ind w:start="0" w:end="0" w:hanging="0"/>
        <w:jc w:val="both"/>
        <w:rPr>
          <w:i w:val="false"/>
          <w:i w:val="false"/>
          <w:iCs/>
        </w:rPr>
      </w:pPr>
      <w:r>
        <w:rPr>
          <w:i w:val="false"/>
          <w:iCs/>
        </w:rPr>
        <w:t>Gereformeerde Kerk</w:t>
      </w:r>
    </w:p>
    <w:p>
      <w:pPr>
        <w:pStyle w:val="T1"/>
        <w:rPr>
          <w:i/>
          <w:i/>
          <w:iCs/>
          <w:lang w:val="nl-NL"/>
        </w:rPr>
      </w:pPr>
      <w:r>
        <w:rPr>
          <w:i/>
          <w:iCs/>
          <w:lang w:val="nl-NL"/>
        </w:rPr>
      </w:r>
    </w:p>
    <w:p>
      <w:pPr>
        <w:pStyle w:val="T1"/>
        <w:jc w:val="start"/>
        <w:rPr>
          <w:i/>
          <w:i/>
          <w:iCs/>
          <w:lang w:val="nl-NL"/>
        </w:rPr>
      </w:pPr>
      <w:r>
        <w:rPr>
          <w:i/>
          <w:iCs/>
          <w:lang w:val="nl-NL"/>
        </w:rPr>
        <w:t>Zaalkerk gebouwd in 1913 door Egbert Reitsma volgens een model dat in deze jaren in Noord-Nederland veel voorkomt. Typerend is de combinatie van geverfde lambriseringen in het interieur met glas-in-loodramen, houten plafonds gepleisterde muren en baksteendetails. Van buiten heeft dit type kerk, ook in Munnekezijl, een robuust bakstenen voorkomen, doorgaans met een uit de gevel oprijzende toren.</w:t>
      </w:r>
    </w:p>
    <w:p>
      <w:pPr>
        <w:pStyle w:val="T1"/>
        <w:rPr>
          <w:i/>
          <w:i/>
          <w:iCs/>
          <w:lang w:val="nl-NL"/>
        </w:rPr>
      </w:pPr>
      <w:r>
        <w:rPr>
          <w:i/>
          <w:iCs/>
          <w:lang w:val="nl-NL"/>
        </w:rPr>
      </w:r>
    </w:p>
    <w:p>
      <w:pPr>
        <w:pStyle w:val="T1"/>
        <w:rPr>
          <w:lang w:val="nl-NL"/>
        </w:rPr>
      </w:pPr>
      <w:r>
        <w:rPr>
          <w:lang w:val="nl-NL"/>
        </w:rPr>
        <w:t>Kas: 1920</w:t>
      </w:r>
    </w:p>
    <w:p>
      <w:pPr>
        <w:pStyle w:val="T1"/>
        <w:rPr>
          <w:lang w:val="nl-NL"/>
        </w:rPr>
      </w:pPr>
      <w:r>
        <w:rPr>
          <w:lang w:val="nl-NL"/>
        </w:rPr>
      </w:r>
    </w:p>
    <w:p>
      <w:pPr>
        <w:pStyle w:val="Heading2"/>
        <w:ind w:start="0" w:end="0" w:hanging="0"/>
        <w:jc w:val="both"/>
        <w:rPr>
          <w:i w:val="false"/>
          <w:i w:val="false"/>
          <w:iCs/>
        </w:rPr>
      </w:pPr>
      <w:r>
        <w:rPr>
          <w:i w:val="false"/>
          <w:iCs/>
        </w:rPr>
        <w:t>Kunsthistorische aspecten</w:t>
      </w:r>
    </w:p>
    <w:p>
      <w:pPr>
        <w:pStyle w:val="T2Kunst"/>
        <w:jc w:val="start"/>
        <w:rPr>
          <w:lang w:val="nl-NL"/>
        </w:rPr>
      </w:pPr>
      <w:r>
        <w:rPr>
          <w:lang w:val="nl-NL"/>
        </w:rPr>
        <w:t>Dit front is weliswaar niet voor dit orgel ontworpen – het is veel breder dan de orgelkast en er zonder veel mitsen en maren voorgezet – maar het is wel van de orgelmaker: Rohlfing had de gewoonte snijwerk rudimentair uit te voeren. Typerend is hoe de delen onder de torens zijn uitgevoerd: de bolvorm is zodanig ‘opengewerkt’ dat er slechts ‘meridianen’ overblijven. Op dezelfde wijze zijn de torenbekroningen uitgevoerd. Eveneens typisch Rohlfing zijn de kleine rondboogjes in de balustrade onder het front. Het front is verder traditioneel ingedeeld, met drie ronde torens, gescheiden door dubbele tussenvelden, waarin rechte, naar de middentoren aflopende labiumlijnen. Opmerkelijk zijn de hoge kappen op de torens en het ornament daarin: elke kap is voorzien zeven ronde gaten, evenveel dus als er pijpen in de torens staan. Binnen het beperkte vormenrepertoire van dit front zijn de licht harpvormige afsluitingen van de bovenste tussenvelden, en de met kleine hoekstukjes elegant gemaakte rechte afsluitingen van de onderste tussenvelden fantasierijk.</w:t>
      </w:r>
    </w:p>
    <w:p>
      <w:pPr>
        <w:pStyle w:val="T2Kunst"/>
        <w:jc w:val="start"/>
        <w:rPr>
          <w:lang w:val="nl-NL"/>
        </w:rPr>
      </w:pPr>
      <w:r>
        <w:rPr>
          <w:lang w:val="nl-NL"/>
        </w:rPr>
      </w:r>
    </w:p>
    <w:p>
      <w:pPr>
        <w:pStyle w:val="T3Lit"/>
        <w:jc w:val="start"/>
        <w:rPr>
          <w:b/>
          <w:b/>
          <w:bCs/>
          <w:lang w:val="nl-NL"/>
        </w:rPr>
      </w:pPr>
      <w:r>
        <w:rPr>
          <w:b/>
          <w:bCs/>
          <w:lang w:val="nl-NL"/>
        </w:rPr>
        <w:t>Literatuur</w:t>
      </w:r>
    </w:p>
    <w:p>
      <w:pPr>
        <w:pStyle w:val="T1"/>
        <w:jc w:val="start"/>
        <w:rPr/>
      </w:pPr>
      <w:r>
        <w:rPr>
          <w:lang w:val="nl-NL"/>
        </w:rPr>
        <w:t xml:space="preserve">Jan Jongepier, </w:t>
      </w:r>
      <w:r>
        <w:rPr>
          <w:i/>
          <w:iCs/>
          <w:lang w:val="nl-NL"/>
        </w:rPr>
        <w:t>Vijf eeuwen Friese orgelbouw</w:t>
      </w:r>
      <w:r>
        <w:rPr>
          <w:lang w:val="nl-NL"/>
        </w:rPr>
        <w:t>. Leeuwarden, 2004, 164, 200.</w:t>
      </w:r>
    </w:p>
    <w:p>
      <w:pPr>
        <w:pStyle w:val="T3Lit"/>
        <w:jc w:val="start"/>
        <w:rPr>
          <w:lang w:val="nl-NL"/>
        </w:rPr>
      </w:pPr>
      <w:r>
        <w:rPr>
          <w:lang w:val="nl-NL"/>
        </w:rPr>
      </w:r>
    </w:p>
    <w:p>
      <w:pPr>
        <w:pStyle w:val="Heading2"/>
        <w:ind w:start="0" w:end="0" w:hanging="0"/>
        <w:jc w:val="both"/>
        <w:rPr>
          <w:i w:val="false"/>
          <w:i w:val="false"/>
          <w:iCs/>
        </w:rPr>
      </w:pPr>
      <w:r>
        <w:rPr>
          <w:i w:val="false"/>
          <w:iCs/>
        </w:rPr>
        <w:t>Historische gegevens</w:t>
      </w:r>
    </w:p>
    <w:p>
      <w:pPr>
        <w:pStyle w:val="T1"/>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Rohlfing Orgelbau-Anstalt, Osnabrück</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1920</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windvoorziening gewijzigd, windmotor geplaatst</w:t>
      </w:r>
    </w:p>
    <w:p>
      <w:pPr>
        <w:pStyle w:val="T1"/>
        <w:numPr>
          <w:ilvl w:val="0"/>
          <w:numId w:val="4"/>
        </w:numPr>
        <w:jc w:val="start"/>
        <w:rPr>
          <w:lang w:val="nl-NL"/>
        </w:rPr>
      </w:pPr>
      <w:r>
        <w:rPr>
          <w:lang w:val="nl-NL"/>
        </w:rPr>
        <w:t>klavierbeleg vervangen door celluloid</w:t>
      </w:r>
    </w:p>
    <w:p>
      <w:pPr>
        <w:pStyle w:val="T1"/>
        <w:jc w:val="start"/>
        <w:rPr>
          <w:lang w:val="nl-NL"/>
        </w:rPr>
      </w:pPr>
      <w:r>
        <w:rPr>
          <w:lang w:val="nl-NL"/>
        </w:rPr>
      </w:r>
    </w:p>
    <w:p>
      <w:pPr>
        <w:pStyle w:val="T1"/>
        <w:jc w:val="start"/>
        <w:rPr>
          <w:lang w:val="nl-NL"/>
        </w:rPr>
      </w:pPr>
      <w:r>
        <w:rPr>
          <w:lang w:val="nl-NL"/>
        </w:rPr>
        <w:t>Mense Ruiter Orgelmakers 1996</w:t>
      </w:r>
    </w:p>
    <w:p>
      <w:pPr>
        <w:pStyle w:val="T1"/>
        <w:numPr>
          <w:ilvl w:val="0"/>
          <w:numId w:val="2"/>
        </w:numPr>
        <w:jc w:val="start"/>
        <w:rPr>
          <w:lang w:val="nl-NL"/>
        </w:rPr>
      </w:pPr>
      <w:r>
        <w:rPr>
          <w:lang w:val="nl-NL"/>
        </w:rPr>
        <w:t>balgjes windlade vernieuwd</w:t>
      </w:r>
    </w:p>
    <w:p>
      <w:pPr>
        <w:pStyle w:val="T1"/>
        <w:numPr>
          <w:ilvl w:val="0"/>
          <w:numId w:val="2"/>
        </w:numPr>
        <w:jc w:val="start"/>
        <w:rPr>
          <w:lang w:val="nl-NL"/>
        </w:rPr>
      </w:pPr>
      <w:r>
        <w:rPr>
          <w:lang w:val="nl-NL"/>
        </w:rPr>
        <w:t>afdekplaten onder de windlade nieuw bevestigd</w:t>
      </w:r>
    </w:p>
    <w:p>
      <w:pPr>
        <w:pStyle w:val="T1"/>
        <w:jc w:val="start"/>
        <w:rPr>
          <w:lang w:val="nl-NL"/>
        </w:rPr>
      </w:pPr>
      <w:r>
        <w:rPr>
          <w:lang w:val="nl-NL"/>
        </w:rPr>
      </w:r>
    </w:p>
    <w:p>
      <w:pPr>
        <w:pStyle w:val="Heading2"/>
        <w:ind w:start="0" w:end="0" w:hanging="0"/>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323" w:type="dxa"/>
        <w:jc w:val="start"/>
        <w:tblInd w:w="0" w:type="dxa"/>
        <w:tblLayout w:type="fixed"/>
        <w:tblCellMar>
          <w:top w:w="0" w:type="dxa"/>
          <w:start w:w="70" w:type="dxa"/>
          <w:bottom w:w="0" w:type="dxa"/>
          <w:end w:w="70" w:type="dxa"/>
        </w:tblCellMar>
      </w:tblPr>
      <w:tblGrid>
        <w:gridCol w:w="1737"/>
        <w:gridCol w:w="631"/>
        <w:gridCol w:w="1323"/>
        <w:gridCol w:w="632"/>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Holpÿp</w:t>
            </w:r>
          </w:p>
          <w:p>
            <w:pPr>
              <w:pStyle w:val="T4dispositie"/>
              <w:rPr>
                <w:lang w:val="nl-NL"/>
              </w:rPr>
            </w:pPr>
            <w:r>
              <w:rPr>
                <w:lang w:val="nl-NL"/>
              </w:rPr>
              <w:t>Viola di Gamba</w:t>
            </w:r>
          </w:p>
          <w:p>
            <w:pPr>
              <w:pStyle w:val="T4dispositie"/>
              <w:rPr>
                <w:lang w:val="nl-NL"/>
              </w:rPr>
            </w:pPr>
            <w:r>
              <w:rPr>
                <w:lang w:val="nl-NL"/>
              </w:rPr>
              <w:t>Aeoline</w:t>
            </w:r>
          </w:p>
          <w:p>
            <w:pPr>
              <w:pStyle w:val="T4dispositie"/>
              <w:rPr>
                <w:lang w:val="nl-NL"/>
              </w:rPr>
            </w:pPr>
            <w:r>
              <w:rPr>
                <w:lang w:val="nl-NL"/>
              </w:rPr>
              <w:t>Vox coelestis</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Woudfluit</w:t>
            </w:r>
          </w:p>
          <w:p>
            <w:pPr>
              <w:pStyle w:val="T4dispositie"/>
              <w:rPr>
                <w:lang w:val="nl-NL"/>
              </w:rPr>
            </w:pPr>
            <w:r>
              <w:rPr>
                <w:lang w:val="nl-NL"/>
              </w:rPr>
              <w:t>Mixtuur</w:t>
            </w:r>
          </w:p>
          <w:p>
            <w:pPr>
              <w:pStyle w:val="T4dispositie"/>
              <w:rPr>
                <w:lang w:val="nl-NL"/>
              </w:rPr>
            </w:pPr>
            <w:r>
              <w:rPr>
                <w:lang w:val="nl-NL"/>
              </w:rPr>
              <w:t>Trompet</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323"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Cello</w:t>
            </w:r>
          </w:p>
        </w:tc>
        <w:tc>
          <w:tcPr>
            <w:tcW w:w="63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8' tr</w:t>
            </w:r>
          </w:p>
        </w:tc>
      </w:tr>
    </w:tbl>
    <w:p>
      <w:pPr>
        <w:pStyle w:val="T4dispositie"/>
        <w:rPr>
          <w:lang w:val="nl-NL"/>
        </w:rPr>
      </w:pPr>
      <w:r>
        <w:rPr>
          <w:lang w:val="nl-NL"/>
        </w:rPr>
      </w:r>
    </w:p>
    <w:p>
      <w:pPr>
        <w:pStyle w:val="T4dispositie"/>
        <w:rPr>
          <w:lang w:val="nl-NL"/>
        </w:rPr>
      </w:pPr>
      <w:r>
        <w:rPr>
          <w:lang w:val="nl-NL"/>
        </w:rPr>
        <w:t>[lege registertuimelaar]</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 suboktaafkoppel, superoktaafkoppel (tuimelaars)</w:t>
      </w:r>
    </w:p>
    <w:p>
      <w:pPr>
        <w:pStyle w:val="T1"/>
        <w:jc w:val="start"/>
        <w:rPr>
          <w:lang w:val="fr-FR"/>
        </w:rPr>
      </w:pPr>
      <w:r>
        <w:rPr>
          <w:lang w:val="fr-FR"/>
        </w:rPr>
        <w:t>vaste combinaties P-M-F-T</w:t>
      </w:r>
    </w:p>
    <w:p>
      <w:pPr>
        <w:pStyle w:val="T1"/>
        <w:jc w:val="start"/>
        <w:rPr>
          <w:lang w:val="nl-NL"/>
        </w:rPr>
      </w:pPr>
      <w:r>
        <w:rPr>
          <w:lang w:val="nl-NL"/>
        </w:rPr>
        <w:t>tremolo</w:t>
      </w:r>
    </w:p>
    <w:p>
      <w:pPr>
        <w:pStyle w:val="T1"/>
        <w:jc w:val="start"/>
        <w:rPr>
          <w:lang w:val="nl-NL"/>
        </w:rPr>
      </w:pPr>
      <w:r>
        <w:rPr>
          <w:lang w:val="nl-NL"/>
        </w:rPr>
      </w:r>
    </w:p>
    <w:p>
      <w:pPr>
        <w:pStyle w:val="T1"/>
        <w:jc w:val="start"/>
        <w:rPr>
          <w:lang w:val="nl-NL"/>
        </w:rPr>
      </w:pPr>
      <w:r>
        <w:rPr>
          <w:lang w:val="nl-NL"/>
        </w:rPr>
        <w:t>Samenstelling vulstem</w:t>
      </w:r>
    </w:p>
    <w:tbl>
      <w:tblPr>
        <w:tblW w:w="3199" w:type="dxa"/>
        <w:jc w:val="start"/>
        <w:tblInd w:w="0" w:type="dxa"/>
        <w:tblLayout w:type="fixed"/>
        <w:tblCellMar>
          <w:top w:w="0" w:type="dxa"/>
          <w:start w:w="70" w:type="dxa"/>
          <w:bottom w:w="0" w:type="dxa"/>
          <w:end w:w="70" w:type="dxa"/>
        </w:tblCellMar>
      </w:tblPr>
      <w:tblGrid>
        <w:gridCol w:w="1023"/>
        <w:gridCol w:w="718"/>
        <w:gridCol w:w="729"/>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f</w:t>
            </w:r>
            <w:r>
              <w:rPr>
                <w:vertAlign w:val="superscript"/>
                <w:lang w:val="nl-NL"/>
              </w:rPr>
              <w:t>1</w:t>
            </w:r>
          </w:p>
          <w:p>
            <w:pPr>
              <w:pStyle w:val="T4dispositie"/>
              <w:rPr>
                <w:lang w:val="nl-NL"/>
              </w:rPr>
            </w:pPr>
            <w:r>
              <w:rPr>
                <w:lang w:val="nl-NL"/>
              </w:rPr>
              <w:t>2 2/3</w:t>
            </w:r>
          </w:p>
          <w:p>
            <w:pPr>
              <w:pStyle w:val="T4dispositie"/>
              <w:rPr>
                <w:lang w:val="nl-NL"/>
              </w:rPr>
            </w:pPr>
            <w:r>
              <w:rPr>
                <w:lang w:val="nl-NL"/>
              </w:rPr>
              <w:t>1 1/3</w:t>
            </w:r>
          </w:p>
        </w:tc>
        <w:tc>
          <w:tcPr>
            <w:tcW w:w="729" w:type="dxa"/>
            <w:tcBorders/>
          </w:tcPr>
          <w:p>
            <w:pPr>
              <w:pStyle w:val="T4dispositie"/>
              <w:rPr/>
            </w:pPr>
            <w:r>
              <w:rPr>
                <w:lang w:val="nl-NL"/>
              </w:rPr>
              <w:t>f</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 xml:space="preserve">Pedaalomvang </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zakbalg</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 met ombouw als organistenkamertje</w:t>
      </w:r>
    </w:p>
    <w:p>
      <w:pPr>
        <w:pStyle w:val="T1"/>
        <w:rPr>
          <w:lang w:val="nl-NL"/>
        </w:rPr>
      </w:pPr>
      <w:r>
        <w:rPr>
          <w:lang w:val="nl-NL"/>
        </w:rPr>
      </w:r>
    </w:p>
    <w:p>
      <w:pPr>
        <w:pStyle w:val="Heading2"/>
        <w:ind w:start="0" w:end="0" w:hanging="0"/>
        <w:jc w:val="both"/>
        <w:rPr>
          <w:i w:val="false"/>
          <w:i w:val="false"/>
          <w:iCs/>
        </w:rPr>
      </w:pPr>
      <w:r>
        <w:rPr>
          <w:i w:val="false"/>
          <w:iCs/>
        </w:rPr>
        <w:t>Bijzonderheden</w:t>
      </w:r>
    </w:p>
    <w:p>
      <w:pPr>
        <w:pStyle w:val="T1"/>
        <w:rPr>
          <w:i/>
          <w:i/>
          <w:iCs/>
          <w:lang w:val="nl-NL"/>
        </w:rPr>
      </w:pPr>
      <w:r>
        <w:rPr>
          <w:i/>
          <w:iCs/>
          <w:lang w:val="nl-NL"/>
        </w:rPr>
      </w:r>
    </w:p>
    <w:p>
      <w:pPr>
        <w:pStyle w:val="T1"/>
        <w:jc w:val="start"/>
        <w:rPr/>
      </w:pPr>
      <w:r>
        <w:rPr>
          <w:lang w:val="nl-NL"/>
        </w:rPr>
        <w:t>De fa Rohlfing hanteerde bij haar orgels een eenvoudig basisconcept, waarin met vaste en deels kant en klare ‘modules’ orgels van allerlei formaat konden worden gerealiseerd. Men paste daarbij een balgjeslade toe, die vrijwel elk gewenst aantal registercancellen kon bevatten. Daarop sloot de firma een pneumatiek aan die geheel met uitlatende wind werkt, met een vlotte aanspraak als groot voordeel. Daarin wijken Rohlfing-orgels af van door Nederlandse orgelmakers gebouwde orgels uit deze periode, die ofwel met geheel inlatende wind werken ofwel - vooral de jongere - met wisselwind (in beide gevallen in combinatie met kegelladen). De speeltafels van Rohlfing-orgels zijn eveneens gestandaardiseerd, evenals de mensuren; die zijn nergens aangepast aan de kerkruimte. Zeer eng zijn de pijpen nergens; de Prestant heeft een klassieke maatvoering, Gamba en Aeoline zijn enger, waarbij de Aeoline slechts een fractie enger is dan de Gamba. De kracht van de Gamba wordt vooral gerealiseerd met behulp van de tot d</w:t>
      </w:r>
      <w:r>
        <w:rPr>
          <w:vertAlign w:val="superscript"/>
          <w:lang w:val="nl-NL"/>
        </w:rPr>
        <w:t>2</w:t>
      </w:r>
      <w:r>
        <w:rPr>
          <w:lang w:val="nl-NL"/>
        </w:rPr>
        <w:t xml:space="preserve"> aangebrachte rolbaarden. De milde en veelal fraai afgewerkte klank maakte het mogelijk ook in kleine kerken ruime disposities te realiseren. Het geheim van deze klankafwerking is niet alleen de kwaliteit van intonatie en mensuratie; ook de keuze voor het volledig uitbouwen van registers als Gamba en Aeoline speelt een rol, evenals de keuze de wijdgemensureerde Holpÿp als open register te bouwen. Opvallend is de samenstelling van de Mixtuur: tussen f</w:t>
      </w:r>
      <w:r>
        <w:rPr>
          <w:vertAlign w:val="superscript"/>
          <w:lang w:val="nl-NL"/>
        </w:rPr>
        <w:t>1</w:t>
      </w:r>
      <w:r>
        <w:rPr>
          <w:lang w:val="nl-NL"/>
        </w:rPr>
        <w:t xml:space="preserve"> en f</w:t>
      </w:r>
      <w:r>
        <w:rPr>
          <w:vertAlign w:val="superscript"/>
          <w:lang w:val="nl-NL"/>
        </w:rPr>
        <w:t>2</w:t>
      </w:r>
      <w:r>
        <w:rPr>
          <w:lang w:val="nl-NL"/>
        </w:rPr>
        <w:t xml:space="preserve"> zijn beide koren quintkoren.</w:t>
      </w:r>
    </w:p>
    <w:p>
      <w:pPr>
        <w:pStyle w:val="T1"/>
        <w:jc w:val="start"/>
        <w:rPr>
          <w:lang w:val="nl-NL"/>
        </w:rPr>
      </w:pPr>
      <w:r>
        <w:rPr>
          <w:lang w:val="nl-NL"/>
        </w:rPr>
        <w:t>Opmerkelijk, ook binnen het oeuvre van Rohlfing, is dat het orgel in Munnekezijl ‘met zijn rug’ naar de kerk staat. De opstelling op de lade is, van achteren naar voren (!): Prestant - Bourdon – Viola di Gamba - Aeoline – Vox coelestis - Holpÿp - Octaaf - Roerfluit - Woudfluit - Mixtuur - Trompet. Voor de Trompet bevindt zich een ruime stemgang. Het front spreekt niet.</w:t>
      </w:r>
    </w:p>
    <w:p>
      <w:pPr>
        <w:pStyle w:val="T1"/>
        <w:jc w:val="start"/>
        <w:rPr>
          <w:lang w:val="nl-NL"/>
        </w:rPr>
      </w:pPr>
      <w:r>
        <w:rPr>
          <w:lang w:val="nl-NL"/>
        </w:rPr>
        <w:t>Verder valt op dat het front nergens aansluit bij de kast: het is veel breder, en binnenin is te zien dat het als een apart onderdeel ‘eenvoudigweg’ vóór stempad en windlade is gezet.</w:t>
      </w:r>
    </w:p>
    <w:p>
      <w:pPr>
        <w:pStyle w:val="T1"/>
        <w:jc w:val="start"/>
        <w:rPr/>
      </w:pPr>
      <w:r>
        <w:rPr>
          <w:lang w:val="nl-NL"/>
        </w:rPr>
        <w:t>Vrijwel alle open pijpwerk is voorzien van expressions; op de zinken pijpen is onder elke expression een strookje vilt aangebracht. De grootste pijpen, inclusief het complete front, zijn van zink. Per register varieert het ‘omslagpunt’ naar orgelmetaal: bij de Prestant is het pijpwerk tot f</w:t>
      </w:r>
      <w:r>
        <w:rPr>
          <w:vertAlign w:val="superscript"/>
          <w:lang w:val="nl-NL"/>
        </w:rPr>
        <w:t>1</w:t>
      </w:r>
      <w:r>
        <w:rPr>
          <w:lang w:val="nl-NL"/>
        </w:rPr>
        <w:t xml:space="preserve"> van zink, bij de Octaaf en bij de Woudfluit tot H, bij de Gamba, de Aeoline en Vox coelestis tot h. De trompetbekers hebben in het bovenste octaaf dubbele lengte. Doordat de 18 bovenste bekers van metaal zijn, betekent dit dat er bekers van gelijke lengte in zink en metaal naast elkaar staan. Wél consequent doorgevoerd is de keuze voor boogvormige opsneden bij de fluitregisters en voor zeer regelmatig aangebrachte kernsteken bij alle registers. Het groot octaaf van de Roerfluit is van zink, gedekt met houten pistons. Anders dan elders bij Rohlfing (en anderen) is de Woudfluit in Munnekezijl niet conisch, en in feite bruikbaar als Octaaf 2'. Het hoogste octaaf van de Roerfluit is open. Bourdon en Holpÿp zijn vanaf c</w:t>
      </w:r>
      <w:r>
        <w:rPr>
          <w:vertAlign w:val="superscript"/>
          <w:lang w:val="nl-NL"/>
        </w:rPr>
        <w:t>2</w:t>
      </w:r>
      <w:r>
        <w:rPr>
          <w:lang w:val="nl-NL"/>
        </w:rPr>
        <w:t xml:space="preserve"> van metaal.</w:t>
      </w:r>
    </w:p>
    <w:p>
      <w:pPr>
        <w:pStyle w:val="T1"/>
        <w:jc w:val="start"/>
        <w:rPr/>
      </w:pPr>
      <w:r>
        <w:rPr>
          <w:lang w:val="nl-NL"/>
        </w:rPr>
        <w:t>De suboktaafkoppel werkt alleen van c tot c</w:t>
      </w:r>
      <w:r>
        <w:rPr>
          <w:vertAlign w:val="superscript"/>
          <w:lang w:val="nl-NL"/>
        </w:rPr>
        <w:t>1</w:t>
      </w:r>
      <w:r>
        <w:rPr>
          <w:lang w:val="nl-NL"/>
        </w:rPr>
        <w:t>. Cello en Subbas zijn transmissies van Gamba en Bourdon.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2010-03-21T14:48:00Z</dcterms:created>
  <dc:creator>WS1</dc:creator>
  <dc:description/>
  <dc:language>en-US</dc:language>
  <cp:lastModifiedBy>NIvO</cp:lastModifiedBy>
  <dcterms:modified xsi:type="dcterms:W3CDTF">2010-03-23T18:04:00Z</dcterms:modified>
  <cp:revision>3</cp:revision>
  <dc:subject/>
  <dc:title>Niekerk (Hunsingo) / 1883</dc:title>
</cp:coreProperties>
</file>