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Surhuizum / 1920</w:t>
      </w:r>
    </w:p>
    <w:p>
      <w:pPr>
        <w:pStyle w:val="Heading2"/>
        <w:rPr>
          <w:i w:val="false"/>
          <w:i w:val="false"/>
          <w:iCs/>
        </w:rPr>
      </w:pPr>
      <w:r>
        <w:rPr>
          <w:i w:val="false"/>
          <w:iCs/>
        </w:rPr>
        <w:t>Anthoniuskerk</w:t>
      </w:r>
    </w:p>
    <w:p>
      <w:pPr>
        <w:pStyle w:val="T1"/>
        <w:rPr>
          <w:i/>
          <w:i/>
          <w:iCs/>
          <w:lang w:val="nl-NL"/>
        </w:rPr>
      </w:pPr>
      <w:r>
        <w:rPr>
          <w:i/>
          <w:iCs/>
          <w:lang w:val="nl-NL"/>
        </w:rPr>
      </w:r>
    </w:p>
    <w:p>
      <w:pPr>
        <w:pStyle w:val="T1"/>
        <w:jc w:val="start"/>
        <w:rPr>
          <w:i/>
          <w:i/>
          <w:iCs/>
          <w:lang w:val="nl-NL"/>
        </w:rPr>
      </w:pPr>
      <w:r>
        <w:rPr>
          <w:i/>
          <w:iCs/>
          <w:lang w:val="nl-NL"/>
        </w:rPr>
        <w:t>Vrijwel vrijstaande toren met gemetselde spits, in eerste aanleg uit begin 14e eeuw. Door middel van een smalle doorgang met de toren verbonden zaalkerk, in 1614 gebouwd uit afbraakmateriaal van de voormalige kerk. Vensters in 1734 vergroot. Eenvoudig maar stijlvol interieur. Enkele gebrandschilderde ramen uit 1743 door Ype Staak, kansel uit het derde kwart van de 18e eeuw.</w:t>
      </w:r>
    </w:p>
    <w:p>
      <w:pPr>
        <w:pStyle w:val="T1"/>
        <w:rPr>
          <w:i/>
          <w:i/>
          <w:iCs/>
          <w:lang w:val="nl-NL"/>
        </w:rPr>
      </w:pPr>
      <w:r>
        <w:rPr>
          <w:i/>
          <w:iCs/>
          <w:lang w:val="nl-NL"/>
        </w:rPr>
      </w:r>
    </w:p>
    <w:p>
      <w:pPr>
        <w:pStyle w:val="T1"/>
        <w:rPr>
          <w:lang w:val="nl-NL"/>
        </w:rPr>
      </w:pPr>
      <w:r>
        <w:rPr>
          <w:lang w:val="nl-NL"/>
        </w:rPr>
        <w:t>Kas: 1920</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Surhuizum preludeert op het afscheid van het klassieke orgelmeubel. Zelfs bij een oud familiebedrijf als dat van de orgelmakers Van Dam werden in de laatste jaren van hun bestaan op het gebied van orgelontwerpen nieuwe wegen ingeslagen, al of niet voorgeschreven door architecten. In plaats van een traditioneel vormgegeven kas is hier een ‘open’ front gebouwd, dat internationale oriëntatie verraadt. In Engeland en Duitsland werden al decennia eerder fronten zonder kappen en klassieke torens/velden-structuur gemaakt.</w:t>
      </w:r>
    </w:p>
    <w:p>
      <w:pPr>
        <w:pStyle w:val="T2Kunst"/>
        <w:jc w:val="start"/>
        <w:rPr>
          <w:lang w:val="nl-NL"/>
        </w:rPr>
      </w:pPr>
      <w:r>
        <w:rPr>
          <w:lang w:val="nl-NL"/>
        </w:rPr>
        <w:t>Maar ook al zijn hier de bovenlijsten en kappen weggelaten, toch zijn er bij nadere beschouwing nog details te zien die herinneren aan de klassieke traditie in het algemeen, maar ook aan de traditie van het orgelmakershuis in het bijzonder. Dit betreft dan in hoofdzaak de onderbouw met panelen, pilasterachtige scheidingen, en een bijzonder fries met een soort vlechtwerkmotief. Er zijn ook elementen die direct teruggrijpen op de vormentaal van eerdere fronten van de vierde generatie Van Dam, zoals de consoles onder de spitsen en de tootlijsten bij de pijpvoeten.</w:t>
      </w:r>
    </w:p>
    <w:p>
      <w:pPr>
        <w:pStyle w:val="T2Kunst"/>
        <w:jc w:val="start"/>
        <w:rPr>
          <w:lang w:val="nl-NL"/>
        </w:rPr>
      </w:pPr>
      <w:r>
        <w:rPr>
          <w:lang w:val="nl-NL"/>
        </w:rPr>
        <w:t>De open bovenzijde van het front, met de banden die voor optische samenhang zorgen, vertegenwoordigt vooral nieuwere tijden. Nieuw is daarbij ook, dat de grootste pijpen in de vlakke velden staan en de kleinsten in spitstorens zijn ondergebracht.</w:t>
      </w:r>
    </w:p>
    <w:p>
      <w:pPr>
        <w:pStyle w:val="T2Kunst"/>
        <w:jc w:val="start"/>
        <w:rPr>
          <w:lang w:val="nl-NL"/>
        </w:rPr>
      </w:pPr>
      <w:r>
        <w:rPr>
          <w:lang w:val="nl-NL"/>
        </w:rPr>
        <w:t>De lier die de middenstijl bekroont is in deze context bijna een citaat uit de klassieke vormentaal. Samen met de bekroningen van de vier andere frontstijlen getuigen deze bescheiden ornamenten van de zorgvuldigheid die ook bij de vormgeving van dit bijzondere front in acht is genomen.</w:t>
      </w:r>
    </w:p>
    <w:p>
      <w:pPr>
        <w:pStyle w:val="T1"/>
        <w:rPr>
          <w:lang w:val="nl-NL"/>
        </w:rPr>
      </w:pPr>
      <w:r>
        <w:rPr>
          <w:lang w:val="nl-NL"/>
        </w:rPr>
      </w:r>
    </w:p>
    <w:p>
      <w:pPr>
        <w:pStyle w:val="T3Lit"/>
        <w:rPr>
          <w:b/>
          <w:b/>
          <w:bCs/>
          <w:lang w:val="nl-NL"/>
        </w:rPr>
      </w:pPr>
      <w:r>
        <w:rPr>
          <w:b/>
          <w:bCs/>
          <w:lang w:val="nl-NL"/>
        </w:rPr>
        <w:t>Literatuur</w:t>
      </w:r>
    </w:p>
    <w:p>
      <w:pPr>
        <w:pStyle w:val="T3Lit"/>
        <w:jc w:val="start"/>
        <w:rPr/>
      </w:pPr>
      <w:r>
        <w:rPr>
          <w:iCs/>
          <w:lang w:val="nl-NL"/>
        </w:rPr>
        <w:t xml:space="preserve">Jan Jongepier, </w:t>
      </w:r>
      <w:r>
        <w:rPr>
          <w:i/>
          <w:iCs/>
          <w:lang w:val="nl-NL"/>
        </w:rPr>
        <w:t>Vijf eeuwen Friese orgelbouw.</w:t>
      </w:r>
      <w:r>
        <w:rPr>
          <w:iCs/>
          <w:lang w:val="nl-NL"/>
        </w:rPr>
        <w:t xml:space="preserve"> Leeuwarden, 2004, </w:t>
      </w:r>
    </w:p>
    <w:p>
      <w:pPr>
        <w:pStyle w:val="T3Lit"/>
        <w:jc w:val="start"/>
        <w:rPr>
          <w:iCs/>
          <w:lang w:val="nl-NL"/>
        </w:rPr>
      </w:pPr>
      <w:r>
        <w:rPr>
          <w:iCs/>
          <w:lang w:val="nl-NL"/>
        </w:rPr>
      </w:r>
    </w:p>
    <w:p>
      <w:pPr>
        <w:pStyle w:val="T3Lit"/>
        <w:jc w:val="start"/>
        <w:rPr>
          <w:lang w:val="nl-NL"/>
        </w:rPr>
      </w:pPr>
      <w:r>
        <w:rPr>
          <w:iCs/>
          <w:lang w:val="nl-NL"/>
        </w:rPr>
        <w:t>Orgelnummer 1893</w:t>
      </w:r>
    </w:p>
    <w:p>
      <w:pPr>
        <w:pStyle w:val="T3Lit"/>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N.V. v/h P. van Dam</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1920</w:t>
      </w:r>
    </w:p>
    <w:p>
      <w:pPr>
        <w:pStyle w:val="T1"/>
        <w:rPr>
          <w:lang w:val="nl-NL"/>
        </w:rPr>
      </w:pPr>
      <w:r>
        <w:rPr>
          <w:lang w:val="nl-NL"/>
        </w:rPr>
      </w:r>
    </w:p>
    <w:p>
      <w:pPr>
        <w:pStyle w:val="T1"/>
        <w:rPr>
          <w:lang w:val="nl-NL"/>
        </w:rPr>
      </w:pPr>
      <w:r>
        <w:rPr>
          <w:lang w:val="nl-NL"/>
        </w:rPr>
        <w:t>S. Haarsma 1978</w:t>
      </w:r>
    </w:p>
    <w:p>
      <w:pPr>
        <w:pStyle w:val="T1"/>
        <w:numPr>
          <w:ilvl w:val="0"/>
          <w:numId w:val="2"/>
        </w:numPr>
        <w:rPr>
          <w:lang w:val="nl-NL"/>
        </w:rPr>
      </w:pPr>
      <w:r>
        <w:rPr>
          <w:lang w:val="nl-NL"/>
        </w:rPr>
        <w:t>windlade gerestaureerd, verend sleepsysteem aangebracht</w:t>
      </w:r>
    </w:p>
    <w:p>
      <w:pPr>
        <w:pStyle w:val="T1"/>
        <w:numPr>
          <w:ilvl w:val="0"/>
          <w:numId w:val="2"/>
        </w:numPr>
        <w:rPr>
          <w:lang w:val="nl-NL"/>
        </w:rPr>
      </w:pPr>
      <w:r>
        <w:rPr>
          <w:lang w:val="nl-NL"/>
        </w:rPr>
        <w:t>bestaande metalen conducten vervangen door flexibele exemplaren</w:t>
      </w:r>
    </w:p>
    <w:p>
      <w:pPr>
        <w:pStyle w:val="T1"/>
        <w:numPr>
          <w:ilvl w:val="0"/>
          <w:numId w:val="2"/>
        </w:numPr>
        <w:rPr>
          <w:lang w:val="nl-NL"/>
        </w:rPr>
      </w:pPr>
      <w:r>
        <w:rPr>
          <w:lang w:val="nl-NL"/>
        </w:rPr>
        <w:t>- Aeoline 8', + Qint 3'</w:t>
      </w:r>
    </w:p>
    <w:p>
      <w:pPr>
        <w:pStyle w:val="T1"/>
        <w:jc w:val="start"/>
        <w:rPr>
          <w:lang w:val="nl-NL"/>
        </w:rPr>
      </w:pPr>
      <w:r>
        <w:rPr>
          <w:lang w:val="nl-NL"/>
        </w:rPr>
      </w:r>
    </w:p>
    <w:p>
      <w:pPr>
        <w:pStyle w:val="Heading2"/>
        <w:jc w:val="both"/>
        <w:rPr>
          <w:i w:val="false"/>
          <w:i w:val="false"/>
        </w:rPr>
      </w:pPr>
      <w:r>
        <w:rPr>
          <w:i w:val="false"/>
        </w:rPr>
        <w:t>Technische gegevens</w:t>
      </w:r>
    </w:p>
    <w:p>
      <w:pPr>
        <w:pStyle w:val="T1"/>
        <w:jc w:val="start"/>
        <w:rPr>
          <w:i/>
          <w:i/>
          <w:lang w:val="nl-NL"/>
        </w:rPr>
      </w:pPr>
      <w:r>
        <w:rPr>
          <w:i/>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35" w:type="dxa"/>
        <w:jc w:val="start"/>
        <w:tblInd w:w="-108" w:type="dxa"/>
        <w:tblLayout w:type="fixed"/>
        <w:tblCellMar>
          <w:top w:w="0" w:type="dxa"/>
          <w:start w:w="108" w:type="dxa"/>
          <w:bottom w:w="0" w:type="dxa"/>
          <w:end w:w="108" w:type="dxa"/>
        </w:tblCellMar>
      </w:tblPr>
      <w:tblGrid>
        <w:gridCol w:w="1242"/>
        <w:gridCol w:w="993"/>
      </w:tblGrid>
      <w:tr>
        <w:trPr/>
        <w:tc>
          <w:tcPr>
            <w:tcW w:w="1242" w:type="dxa"/>
            <w:tcBorders/>
          </w:tcPr>
          <w:p>
            <w:pPr>
              <w:pStyle w:val="T4dispositie"/>
              <w:jc w:val="start"/>
              <w:rPr>
                <w:i/>
                <w:i/>
                <w:lang w:val="nl-NL"/>
              </w:rPr>
            </w:pPr>
            <w:r>
              <w:rPr>
                <w:i/>
                <w:lang w:val="nl-NL"/>
              </w:rPr>
              <w:t>Manuaal</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Gedakt</w:t>
            </w:r>
          </w:p>
          <w:p>
            <w:pPr>
              <w:pStyle w:val="T4dispositie"/>
              <w:jc w:val="start"/>
              <w:rPr>
                <w:lang w:val="nl-NL"/>
              </w:rPr>
            </w:pPr>
            <w:r>
              <w:rPr>
                <w:lang w:val="nl-NL"/>
              </w:rPr>
              <w:t>Cello</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Trompet</w:t>
            </w:r>
          </w:p>
        </w:tc>
        <w:tc>
          <w:tcPr>
            <w:tcW w:w="99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(1920)</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jc w:val="both"/>
        <w:rPr>
          <w:i w:val="false"/>
          <w:i w:val="false"/>
        </w:rPr>
      </w:pPr>
      <w:r>
        <w:rPr>
          <w:i w:val="false"/>
        </w:rPr>
        <w:t>Bijzonderheden</w:t>
      </w:r>
    </w:p>
    <w:p>
      <w:pPr>
        <w:pStyle w:val="T1"/>
        <w:jc w:val="start"/>
        <w:rPr>
          <w:i/>
          <w:i/>
          <w:lang w:val="nl-NL"/>
        </w:rPr>
      </w:pPr>
      <w:r>
        <w:rPr>
          <w:i/>
          <w:lang w:val="nl-NL"/>
        </w:rPr>
      </w:r>
    </w:p>
    <w:p>
      <w:pPr>
        <w:pStyle w:val="T1"/>
        <w:jc w:val="start"/>
        <w:rPr/>
      </w:pPr>
      <w:r>
        <w:rPr>
          <w:lang w:val="nl-NL"/>
        </w:rPr>
        <w:t xml:space="preserve">Het handklavier is een staartklavier. De toetsen zijn van naaldhout, de frontons zijn in een hoek van 45º geplaatst. Het beleg op de ondertoetsen is van been. De registerknoppen zijn direct boven het handklavier geplaatst. Ze hebben witte porseleinen naamplaatjes. De naamplaatjes van Prestant 8' en Octaaf 4' zijn vervangen door kunststof exemplaren met graveerletter. De namen hierbij, in afwijking van de originele plaatjes, geheel kapitaal. Voor de Quint 3' is in 1978 een oud plaatje gebruikt, waarbij de afkorting </w:t>
      </w:r>
      <w:r>
        <w:rPr>
          <w:i/>
          <w:iCs/>
          <w:lang w:val="nl-NL"/>
        </w:rPr>
        <w:t>vt</w:t>
      </w:r>
      <w:r>
        <w:rPr>
          <w:lang w:val="nl-NL"/>
        </w:rPr>
        <w:t xml:space="preserve"> voorkomt, terwijl op de originele plaatjes geen enkel voet-teken is gebruikt. Het eiken pedaalklavier heeft boventoetsen van gelijke lengte, die zodanig geplaatst zijn dat een lichte boogvorm ontstaan is.</w:t>
      </w:r>
    </w:p>
    <w:p>
      <w:pPr>
        <w:pStyle w:val="T1"/>
        <w:jc w:val="start"/>
        <w:rPr>
          <w:lang w:val="nl-NL"/>
        </w:rPr>
      </w:pPr>
      <w:r>
        <w:rPr>
          <w:lang w:val="nl-NL"/>
        </w:rPr>
        <w:t>Het cancellenraam en de ventielkast van de windlade zijn van eiken. De voorslagen worden door middel van palmhouten klemmen vastgehouden. De cancelvolgorde van de lade is chromatisch: C-H g3-c.</w:t>
      </w:r>
    </w:p>
    <w:p>
      <w:pPr>
        <w:pStyle w:val="T1"/>
        <w:jc w:val="start"/>
        <w:rPr>
          <w:lang w:val="nl-NL"/>
        </w:rPr>
      </w:pPr>
      <w:r>
        <w:rPr>
          <w:lang w:val="nl-NL"/>
        </w:rPr>
        <w:t>De grote magazijnbalg ligt onder in de kas. Er zijn twee windzichten: één bij de handpomp, en één voor de bespeler, naast de klaviatuur. De Tremulant is een inliggend exemplaar, het Ventiel is een eiken klepje op het staand windkanaal.</w:t>
      </w:r>
    </w:p>
    <w:p>
      <w:pPr>
        <w:pStyle w:val="T1"/>
        <w:jc w:val="start"/>
        <w:rPr>
          <w:lang w:val="nl-NL"/>
        </w:rPr>
      </w:pPr>
      <w:r>
        <w:rPr>
          <w:lang w:val="nl-NL"/>
        </w:rPr>
        <w:t>De frontpijpen zijn van zink. Alle 24 frontpijpen spreken, aangesloten op C-h van de Prestant 8'.</w:t>
      </w:r>
    </w:p>
    <w:p>
      <w:pPr>
        <w:pStyle w:val="T1"/>
        <w:jc w:val="start"/>
        <w:rPr>
          <w:lang w:val="nl-NL"/>
        </w:rPr>
      </w:pPr>
      <w:r>
        <w:rPr>
          <w:lang w:val="nl-NL"/>
        </w:rPr>
        <w:t>Houten pijpen zijn toegepast voor de Bourdon 16' (C-h) en de Gedakt 8' (C-H). De houten pijpen zijn op vervoerstokken geplaatst tegen de beide zijwanden van de kas. De Cello 8' is in het groot octaaf gecombineerd met de Gedakt 8'. De Aeoline was dat ook. Voor de Quint 3' is in 1978 nieuw pijpwerk geleverd, het register loopt vanaf groot C. Er is veel pijpwerk van zink toegepast: van de Cello het klein octaaf, van de Octaaf 4' 1 1/2' octaaf, van de Roerfluit '4 het groot octaaf, van de Gedakt 8' een deel van het klein octaaf. De Octaaf 2' heeft pijpwerk met klassieke spitslabia en handgeschreven toonnamen.</w:t>
      </w:r>
    </w:p>
    <w:p>
      <w:pPr>
        <w:pStyle w:val="T1"/>
        <w:jc w:val="start"/>
        <w:rPr>
          <w:lang w:val="nl-NL"/>
        </w:rPr>
      </w:pPr>
      <w:r>
        <w:rPr>
          <w:lang w:val="nl-NL"/>
        </w:rPr>
        <w:t>De kleinste 12 pijpen van de Roerfluit 4' zijn conisch, open. De Cornet is op de pijpstok geplaatst.</w:t>
      </w:r>
    </w:p>
    <w:p>
      <w:pPr>
        <w:pStyle w:val="T1"/>
        <w:jc w:val="start"/>
        <w:rPr/>
      </w:pPr>
      <w:r>
        <w:rPr>
          <w:lang w:val="nl-NL"/>
        </w:rPr>
        <w:t>De Trompet is, evenals het merendeel van het labiaalpijpwerk, een toegeleverd register met toonnamen in de vorm van slagletters. De stevels zijn van zink, de koppen van lood, de bekers van zink tot en met h</w:t>
      </w:r>
      <w:r>
        <w:rPr>
          <w:vertAlign w:val="superscript"/>
          <w:lang w:val="nl-NL"/>
        </w:rPr>
        <w:t>1</w:t>
      </w:r>
      <w:r>
        <w:rPr>
          <w:lang w:val="nl-NL"/>
        </w:rPr>
        <w:t>. De bekers voor fis</w:t>
      </w:r>
      <w:r>
        <w:rPr>
          <w:vertAlign w:val="superscript"/>
          <w:lang w:val="nl-NL"/>
        </w:rPr>
        <w:t>2</w:t>
      </w:r>
      <w:r>
        <w:rPr>
          <w:lang w:val="nl-NL"/>
        </w:rPr>
        <w:t>-cis</w:t>
      </w:r>
      <w:r>
        <w:rPr>
          <w:vertAlign w:val="superscript"/>
          <w:lang w:val="nl-NL"/>
        </w:rPr>
        <w:t>3</w:t>
      </w:r>
      <w:r>
        <w:rPr>
          <w:lang w:val="nl-NL"/>
        </w:rPr>
        <w:t xml:space="preserve"> hebben dubbele lengte, voor de toetsen d</w:t>
      </w:r>
      <w:r>
        <w:rPr>
          <w:vertAlign w:val="superscript"/>
          <w:lang w:val="nl-NL"/>
        </w:rPr>
        <w:t>3</w:t>
      </w:r>
      <w:r>
        <w:rPr>
          <w:lang w:val="nl-NL"/>
        </w:rPr>
        <w:t>-g</w:t>
      </w:r>
      <w:r>
        <w:rPr>
          <w:vertAlign w:val="superscript"/>
          <w:lang w:val="nl-NL"/>
        </w:rPr>
        <w:t>3</w:t>
      </w:r>
      <w:r>
        <w:rPr>
          <w:lang w:val="nl-NL"/>
        </w:rPr>
        <w:t xml:space="preserve"> zijn labiaalpijpjes geplaatst.</w:t>
      </w:r>
    </w:p>
    <w:p>
      <w:pPr>
        <w:pStyle w:val="T1"/>
        <w:jc w:val="start"/>
        <w:rPr/>
      </w:pPr>
      <w:r>
        <w:rPr>
          <w:lang w:val="nl-NL"/>
        </w:rPr>
        <w:t>Voor de steminrichtingen zijn in veel gevallen expressions toegepast. Bij Prestant en Cello tot en met g</w:t>
      </w:r>
      <w:r>
        <w:rPr>
          <w:vertAlign w:val="superscript"/>
          <w:lang w:val="nl-NL"/>
        </w:rPr>
        <w:t>3</w:t>
      </w:r>
      <w:r>
        <w:rPr>
          <w:lang w:val="nl-NL"/>
        </w:rPr>
        <w:t>, bij de Octaaf 4' en Octaaf 2' tot 1/3-voets lengte.</w:t>
      </w:r>
    </w:p>
    <w:sectPr>
      <w:type w:val="nextPage"/>
      <w:pgSz w:w="12240" w:h="15840"/>
      <w:pgMar w:left="850" w:right="850" w:gutter="0" w:header="0" w:top="1440" w:footer="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ial Narrow">
    <w:charset w:val="00" w:characterSet="windows-1252"/>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Times New Roman" w:hAnsi="Times New Roman" w:eastAsia="Times New Roman" w:cs="Times New Roman"/>
    </w:rPr>
  </w:style>
  <w:style w:type="character" w:styleId="WW8Num1z2">
    <w:name w:val="WW8Num1z2"/>
    <w:qFormat/>
    <w:rPr>
      <w:rFonts w:ascii="Wingdings" w:hAnsi="Wingdings" w:cs="Wingdings"/>
    </w:rPr>
  </w:style>
  <w:style w:type="character" w:styleId="WW8Num1z4">
    <w:name w:val="WW8Num1z4"/>
    <w:qFormat/>
    <w:rPr>
      <w:rFonts w:ascii="Courier New" w:hAnsi="Courier New" w:cs="Courier New"/>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Voetnootverwijzing">
    <w:name w:val="Voetnootverwijzing"/>
    <w:qFormat/>
    <w:rPr>
      <w:vertAlign w:val="superscript"/>
    </w:rPr>
  </w:style>
  <w:style w:type="character" w:styleId="DefaultParagraphFo">
    <w:name w:val="Default Paragraph Fo"/>
    <w:basedOn w:val="Standaardalinealettertype"/>
    <w:qFormat/>
    <w:rPr/>
  </w:style>
  <w:style w:type="character" w:styleId="EquationCaption">
    <w:name w:val="_Equation Caption"/>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Endnote">
    <w:name w:val="Endnote Text"/>
    <w:basedOn w:val="Normal"/>
    <w:pPr/>
    <w:rPr>
      <w:rFonts w:cs="Times New Roman"/>
      <w:sz w:val="20"/>
    </w:rPr>
  </w:style>
  <w:style w:type="paragraph" w:styleId="Footnote">
    <w:name w:val="Footnote Text"/>
    <w:basedOn w:val="Normal"/>
    <w:pPr/>
    <w:rPr>
      <w:rFonts w:cs="Times New Roman"/>
      <w:sz w:val="20"/>
    </w:rPr>
  </w:style>
  <w:style w:type="paragraph" w:styleId="MACNormaal">
    <w:name w:val="MACNormaal"/>
    <w:qFormat/>
    <w:pPr>
      <w:widowControl w:val="false"/>
      <w:tabs>
        <w:tab w:val="clear" w:pos="720"/>
        <w:tab w:val="left" w:pos="-283" w:leader="none"/>
        <w:tab w:val="left" w:pos="283" w:leader="none"/>
        <w:tab w:val="left" w:pos="851" w:leader="none"/>
        <w:tab w:val="left" w:pos="1417" w:leader="none"/>
        <w:tab w:val="left" w:pos="1985" w:leader="none"/>
        <w:tab w:val="left" w:pos="2551" w:leader="none"/>
        <w:tab w:val="left" w:pos="3119" w:leader="none"/>
        <w:tab w:val="left" w:pos="3685" w:leader="none"/>
        <w:tab w:val="left" w:pos="4251" w:leader="none"/>
        <w:tab w:val="left" w:pos="4819" w:leader="none"/>
        <w:tab w:val="left" w:pos="5385" w:leader="none"/>
        <w:tab w:val="left" w:pos="5953" w:leader="none"/>
        <w:tab w:val="left" w:pos="6519" w:leader="none"/>
        <w:tab w:val="left" w:pos="7087" w:leader="none"/>
        <w:tab w:val="left" w:pos="7653" w:leader="none"/>
        <w:tab w:val="left" w:pos="8220" w:leader="none"/>
        <w:tab w:val="left" w:pos="8787" w:leader="none"/>
        <w:tab w:val="left" w:pos="9354" w:leader="none"/>
        <w:tab w:val="left" w:pos="9921" w:leader="none"/>
        <w:tab w:val="left" w:pos="10488" w:leader="none"/>
      </w:tabs>
      <w:suppressAutoHyphens w:val="true"/>
      <w:autoSpaceDE w:val="false"/>
      <w:bidi w:val="0"/>
      <w:spacing w:lineRule="atLeast" w:line="240"/>
    </w:pPr>
    <w:rPr>
      <w:rFonts w:ascii="Arial Narrow" w:hAnsi="Arial Narrow" w:eastAsia="Times New Roman" w:cs="Arial Narrow"/>
      <w:color w:val="000000"/>
      <w:sz w:val="23"/>
      <w:szCs w:val="23"/>
      <w:lang w:val="nl-NL" w:bidi="ar-SA" w:eastAsia="zh-CN"/>
    </w:rPr>
  </w:style>
  <w:style w:type="paragraph" w:styleId="Inhopg1">
    <w:name w:val="inhopg 1"/>
    <w:basedOn w:val="Normal"/>
    <w:qFormat/>
    <w:pPr>
      <w:tabs>
        <w:tab w:val="clear" w:pos="720"/>
        <w:tab w:val="right" w:pos="9360" w:leader="dot"/>
      </w:tabs>
      <w:suppressAutoHyphens w:val="true"/>
      <w:spacing w:lineRule="atLeast" w:line="240" w:before="480" w:after="0"/>
      <w:ind w:start="720" w:end="720" w:hanging="720"/>
    </w:pPr>
    <w:rPr>
      <w:lang w:val="en-US"/>
    </w:rPr>
  </w:style>
  <w:style w:type="paragraph" w:styleId="Inhopg2">
    <w:name w:val="inhopg 2"/>
    <w:basedOn w:val="Normal"/>
    <w:qFormat/>
    <w:pPr>
      <w:tabs>
        <w:tab w:val="clear" w:pos="720"/>
        <w:tab w:val="right" w:pos="9360" w:leader="dot"/>
      </w:tabs>
      <w:suppressAutoHyphens w:val="true"/>
      <w:spacing w:lineRule="atLeast" w:line="240"/>
      <w:ind w:start="1440" w:end="720" w:hanging="720"/>
    </w:pPr>
    <w:rPr>
      <w:lang w:val="en-US"/>
    </w:rPr>
  </w:style>
  <w:style w:type="paragraph" w:styleId="Inhopg3">
    <w:name w:val="inhopg 3"/>
    <w:basedOn w:val="Normal"/>
    <w:qFormat/>
    <w:pPr>
      <w:tabs>
        <w:tab w:val="clear" w:pos="720"/>
        <w:tab w:val="right" w:pos="9360" w:leader="dot"/>
      </w:tabs>
      <w:suppressAutoHyphens w:val="true"/>
      <w:spacing w:lineRule="atLeast" w:line="240"/>
      <w:ind w:start="2160" w:end="720" w:hanging="720"/>
    </w:pPr>
    <w:rPr>
      <w:lang w:val="en-US"/>
    </w:rPr>
  </w:style>
  <w:style w:type="paragraph" w:styleId="Inhopg4">
    <w:name w:val="inhopg 4"/>
    <w:basedOn w:val="Normal"/>
    <w:qFormat/>
    <w:pPr>
      <w:tabs>
        <w:tab w:val="clear" w:pos="720"/>
        <w:tab w:val="right" w:pos="9360" w:leader="dot"/>
      </w:tabs>
      <w:suppressAutoHyphens w:val="true"/>
      <w:spacing w:lineRule="atLeast" w:line="240"/>
      <w:ind w:start="2880" w:end="720" w:hanging="720"/>
    </w:pPr>
    <w:rPr>
      <w:lang w:val="en-US"/>
    </w:rPr>
  </w:style>
  <w:style w:type="paragraph" w:styleId="Inhopg5">
    <w:name w:val="inhopg 5"/>
    <w:basedOn w:val="Normal"/>
    <w:qFormat/>
    <w:pPr>
      <w:tabs>
        <w:tab w:val="clear" w:pos="720"/>
        <w:tab w:val="right" w:pos="9360" w:leader="dot"/>
      </w:tabs>
      <w:suppressAutoHyphens w:val="true"/>
      <w:spacing w:lineRule="atLeast" w:line="240"/>
      <w:ind w:start="3600" w:end="720" w:hanging="720"/>
    </w:pPr>
    <w:rPr>
      <w:lang w:val="en-US"/>
    </w:rPr>
  </w:style>
  <w:style w:type="paragraph" w:styleId="Inhopg6">
    <w:name w:val="inhopg 6"/>
    <w:basedOn w:val="Normal"/>
    <w:qFormat/>
    <w:pPr>
      <w:tabs>
        <w:tab w:val="clear" w:pos="720"/>
        <w:tab w:val="right" w:pos="9360" w:leader="none"/>
      </w:tabs>
      <w:suppressAutoHyphens w:val="true"/>
      <w:spacing w:lineRule="atLeast" w:line="240"/>
      <w:ind w:start="720" w:hanging="720"/>
    </w:pPr>
    <w:rPr>
      <w:lang w:val="en-US"/>
    </w:rPr>
  </w:style>
  <w:style w:type="paragraph" w:styleId="Inhopg7">
    <w:name w:val="inhopg 7"/>
    <w:basedOn w:val="Normal"/>
    <w:qFormat/>
    <w:pPr>
      <w:suppressAutoHyphens w:val="true"/>
      <w:spacing w:lineRule="atLeast" w:line="240"/>
      <w:ind w:start="720" w:hanging="720"/>
    </w:pPr>
    <w:rPr>
      <w:lang w:val="en-US"/>
    </w:rPr>
  </w:style>
  <w:style w:type="paragraph" w:styleId="Inhopg8">
    <w:name w:val="inhopg 8"/>
    <w:basedOn w:val="Normal"/>
    <w:qFormat/>
    <w:pPr>
      <w:tabs>
        <w:tab w:val="clear" w:pos="720"/>
        <w:tab w:val="right" w:pos="9360" w:leader="none"/>
      </w:tabs>
      <w:suppressAutoHyphens w:val="true"/>
      <w:spacing w:lineRule="atLeast" w:line="240"/>
      <w:ind w:start="720" w:hanging="720"/>
    </w:pPr>
    <w:rPr>
      <w:lang w:val="en-US"/>
    </w:rPr>
  </w:style>
  <w:style w:type="paragraph" w:styleId="Inhopg9">
    <w:name w:val="inhopg 9"/>
    <w:basedOn w:val="Normal"/>
    <w:qFormat/>
    <w:pPr>
      <w:tabs>
        <w:tab w:val="clear" w:pos="720"/>
        <w:tab w:val="right" w:pos="9360" w:leader="dot"/>
      </w:tabs>
      <w:suppressAutoHyphens w:val="true"/>
      <w:spacing w:lineRule="atLeast" w:line="240"/>
      <w:ind w:start="720" w:hanging="720"/>
    </w:pPr>
    <w:rPr>
      <w:lang w:val="en-US"/>
    </w:rPr>
  </w:style>
  <w:style w:type="paragraph" w:styleId="Index1">
    <w:name w:val="Index 1"/>
    <w:basedOn w:val="Normal"/>
    <w:next w:val="Normal"/>
    <w:pPr>
      <w:tabs>
        <w:tab w:val="clear" w:pos="720"/>
        <w:tab w:val="right" w:pos="9360" w:leader="dot"/>
      </w:tabs>
      <w:suppressAutoHyphens w:val="true"/>
      <w:spacing w:lineRule="atLeast" w:line="240"/>
      <w:ind w:start="1440" w:end="720" w:hanging="1440"/>
    </w:pPr>
    <w:rPr>
      <w:lang w:val="en-US"/>
    </w:rPr>
  </w:style>
  <w:style w:type="paragraph" w:styleId="Index2">
    <w:name w:val="Index 2"/>
    <w:basedOn w:val="Normal"/>
    <w:next w:val="Normal"/>
    <w:pPr>
      <w:tabs>
        <w:tab w:val="clear" w:pos="720"/>
        <w:tab w:val="right" w:pos="9360" w:leader="dot"/>
      </w:tabs>
      <w:suppressAutoHyphens w:val="true"/>
      <w:spacing w:lineRule="atLeast" w:line="240"/>
      <w:ind w:start="1440" w:end="720" w:hanging="720"/>
    </w:pPr>
    <w:rPr>
      <w:lang w:val="en-US"/>
    </w:rPr>
  </w:style>
  <w:style w:type="paragraph" w:styleId="Bronvermelding">
    <w:name w:val="bronvermelding"/>
    <w:basedOn w:val="Normal"/>
    <w:qFormat/>
    <w:pPr>
      <w:tabs>
        <w:tab w:val="clear" w:pos="720"/>
        <w:tab w:val="right" w:pos="9360" w:leader="none"/>
      </w:tabs>
      <w:suppressAutoHyphens w:val="true"/>
      <w:spacing w:lineRule="atLeast" w:line="240"/>
    </w:pPr>
    <w:rPr>
      <w:lang w:val="en-US"/>
    </w:rPr>
  </w:style>
  <w:style w:type="paragraph" w:styleId="Bijschrift">
    <w:name w:val="bijschrift"/>
    <w:basedOn w:val="Normal"/>
    <w:qFormat/>
    <w:pPr/>
    <w:rPr>
      <w:rFonts w:cs="Times New Roman"/>
      <w:sz w:val="20"/>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2010-03-21T15:03:00Z</dcterms:created>
  <dc:creator>WS1</dc:creator>
  <dc:description/>
  <dc:language>en-US</dc:language>
  <cp:lastModifiedBy>NIvO</cp:lastModifiedBy>
  <dcterms:modified xsi:type="dcterms:W3CDTF">2010-03-23T20:13:00Z</dcterms:modified>
  <cp:revision>4</cp:revision>
  <dc:subject/>
  <dc:title>Heeten/1829/2000</dc:title>
</cp:coreProperties>
</file>