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Horssen / 1922</w:t>
      </w:r>
    </w:p>
    <w:p>
      <w:pPr>
        <w:pStyle w:val="Heading2"/>
        <w:rPr>
          <w:i w:val="false"/>
          <w:i w:val="false"/>
          <w:iCs/>
        </w:rPr>
      </w:pPr>
      <w:r>
        <w:rPr>
          <w:i w:val="false"/>
          <w:iCs/>
        </w:rPr>
        <w:t>R.K. Kerk H. Antonius Abt</w:t>
      </w:r>
    </w:p>
    <w:p>
      <w:pPr>
        <w:pStyle w:val="T1"/>
        <w:jc w:val="start"/>
        <w:rPr>
          <w:i/>
          <w:i/>
          <w:iCs/>
          <w:lang w:val="nl-NL"/>
        </w:rPr>
      </w:pPr>
      <w:r>
        <w:rPr>
          <w:i/>
          <w:iCs/>
          <w:lang w:val="nl-NL"/>
        </w:rPr>
      </w:r>
    </w:p>
    <w:p>
      <w:pPr>
        <w:pStyle w:val="T1"/>
        <w:jc w:val="start"/>
        <w:rPr>
          <w:i/>
          <w:i/>
          <w:iCs/>
          <w:lang w:val="nl-NL"/>
        </w:rPr>
      </w:pPr>
      <w:r>
        <w:rPr>
          <w:i/>
          <w:iCs/>
          <w:lang w:val="nl-NL"/>
        </w:rPr>
        <w:t>Driebeukig kerkgebpuw met vijfzijdig gesloten koor, laag pseudotransept, doopkapel en een toren van vier geledingen met ingesnoerde naaldspits. Gebouwd in 1909-1910 naar ontwerp van C. Franssen. Tot de inventaris behoren een door M. van Bokhoven vervaardigd hoofdaltaar en een preekstoel. De gebrandschilderde ramen zijn afkomstig uit het atelier F. Nicolas.</w:t>
      </w:r>
    </w:p>
    <w:p>
      <w:pPr>
        <w:pStyle w:val="T1"/>
        <w:jc w:val="start"/>
        <w:rPr>
          <w:i/>
          <w:i/>
          <w:iCs/>
          <w:lang w:val="nl-NL"/>
        </w:rPr>
      </w:pPr>
      <w:r>
        <w:rPr>
          <w:i/>
          <w:iCs/>
          <w:lang w:val="nl-NL"/>
        </w:rPr>
      </w:r>
    </w:p>
    <w:p>
      <w:pPr>
        <w:pStyle w:val="T1"/>
        <w:jc w:val="start"/>
        <w:rPr>
          <w:lang w:val="nl-NL"/>
        </w:rPr>
      </w:pPr>
      <w:r>
        <w:rPr>
          <w:lang w:val="nl-NL"/>
        </w:rPr>
        <w:t>Kas: 1922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orgel staat opgesteld in twee kassen aan weerszijden van het venster in de voorgevel van het kerkgebouw. De orgelkassen zijn geleverd door de fa Smits (Cuijk) en vertonen eenvoudige neogotische vormen. Beide kassen bestaan uit een veld (aan de muurzijde) en een overhoeks geplaatste toren. In de velden staan telkens vijf pijpen, in de torens zes. De zijwanden van de kassen bestaan uit eenvoudig regel- en paneelwerk. De kassen zijn aan de bovenzijde gesloten maar hebben geen zijwanden aan de muurzijde. De frontpijpen zijn van zink met opgeworpen labia, kleine ronde zijbaarden en ‘vergulde’ labia.</w:t>
      </w:r>
    </w:p>
    <w:p>
      <w:pPr>
        <w:pStyle w:val="T3Lit"/>
        <w:jc w:val="start"/>
        <w:rPr>
          <w:b/>
          <w:b/>
          <w:bCs/>
          <w:lang w:val="nl-NL"/>
        </w:rPr>
      </w:pPr>
      <w:r>
        <w:rPr>
          <w:b/>
          <w:bCs/>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Informatie verstrekt door de Stichting Johann Winkels Kerkorgelfabriek Boxmeer.</w:t>
      </w:r>
    </w:p>
    <w:p>
      <w:pPr>
        <w:pStyle w:val="T3Lit"/>
        <w:jc w:val="start"/>
        <w:rPr>
          <w:lang w:val="nl-NL"/>
        </w:rPr>
      </w:pPr>
      <w:r>
        <w:rPr>
          <w:lang w:val="nl-NL"/>
        </w:rPr>
        <w:t>Orgelarchief Rogér van Dijk.</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 Winkels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1922</w:t>
      </w:r>
    </w:p>
    <w:p>
      <w:pPr>
        <w:pStyle w:val="T1"/>
        <w:jc w:val="start"/>
        <w:rPr>
          <w:lang w:val="nl-NL"/>
        </w:rPr>
      </w:pPr>
      <w:r>
        <w:rPr>
          <w:lang w:val="nl-NL"/>
        </w:rPr>
      </w:r>
    </w:p>
    <w:p>
      <w:pPr>
        <w:pStyle w:val="T1"/>
        <w:jc w:val="start"/>
        <w:rPr>
          <w:lang w:val="nl-NL"/>
        </w:rPr>
      </w:pPr>
      <w:r>
        <w:rPr>
          <w:lang w:val="nl-NL"/>
        </w:rPr>
        <w:t>H. Winkels 1926</w:t>
      </w:r>
    </w:p>
    <w:p>
      <w:pPr>
        <w:pStyle w:val="T1"/>
        <w:numPr>
          <w:ilvl w:val="0"/>
          <w:numId w:val="2"/>
        </w:numPr>
        <w:jc w:val="start"/>
        <w:rPr>
          <w:szCs w:val="24"/>
          <w:lang w:val="nl-NL"/>
        </w:rPr>
      </w:pPr>
      <w:r>
        <w:rPr>
          <w:szCs w:val="24"/>
          <w:lang w:val="nl-NL"/>
        </w:rPr>
        <w:t>orgel hersteld na watersnood</w:t>
      </w:r>
    </w:p>
    <w:p>
      <w:pPr>
        <w:pStyle w:val="T1"/>
        <w:jc w:val="start"/>
        <w:rPr>
          <w:szCs w:val="24"/>
          <w:lang w:val="nl-NL"/>
        </w:rPr>
      </w:pPr>
      <w:r>
        <w:rPr>
          <w:szCs w:val="24"/>
          <w:lang w:val="nl-NL"/>
        </w:rPr>
      </w:r>
    </w:p>
    <w:p>
      <w:pPr>
        <w:pStyle w:val="T1"/>
        <w:jc w:val="start"/>
        <w:rPr>
          <w:szCs w:val="24"/>
          <w:lang w:val="nl-NL"/>
        </w:rPr>
      </w:pPr>
      <w:r>
        <w:rPr>
          <w:szCs w:val="24"/>
          <w:lang w:val="nl-NL"/>
        </w:rPr>
        <w:t>Jos. Vermeulen 1959</w:t>
      </w:r>
    </w:p>
    <w:p>
      <w:pPr>
        <w:pStyle w:val="T1"/>
        <w:numPr>
          <w:ilvl w:val="0"/>
          <w:numId w:val="2"/>
        </w:numPr>
        <w:jc w:val="start"/>
        <w:rPr>
          <w:szCs w:val="24"/>
          <w:lang w:val="nl-NL"/>
        </w:rPr>
      </w:pPr>
      <w:r>
        <w:rPr>
          <w:szCs w:val="24"/>
          <w:lang w:val="nl-NL"/>
        </w:rPr>
        <w:t>orgel gereviseerd</w:t>
      </w:r>
    </w:p>
    <w:p>
      <w:pPr>
        <w:pStyle w:val="T1"/>
        <w:numPr>
          <w:ilvl w:val="0"/>
          <w:numId w:val="2"/>
        </w:numPr>
        <w:jc w:val="start"/>
        <w:rPr>
          <w:szCs w:val="24"/>
          <w:lang w:val="nl-NL"/>
        </w:rPr>
      </w:pPr>
      <w:r>
        <w:rPr>
          <w:szCs w:val="24"/>
          <w:lang w:val="nl-NL"/>
        </w:rPr>
        <w:t>Man II + Tremulant</w:t>
      </w:r>
    </w:p>
    <w:p>
      <w:pPr>
        <w:pStyle w:val="T1"/>
        <w:numPr>
          <w:ilvl w:val="0"/>
          <w:numId w:val="2"/>
        </w:numPr>
        <w:jc w:val="start"/>
        <w:rPr/>
      </w:pPr>
      <w:r>
        <w:rPr>
          <w:szCs w:val="24"/>
          <w:lang w:val="nl-NL"/>
        </w:rPr>
        <w:t>mogelijk bij die gelegenheid rooster Trompet 8</w:t>
      </w:r>
      <w:r>
        <w:rPr>
          <w:lang w:val="nl-NL"/>
        </w:rPr>
        <w:t>'</w:t>
      </w:r>
      <w:r>
        <w:rPr>
          <w:szCs w:val="24"/>
          <w:lang w:val="nl-NL"/>
        </w:rPr>
        <w:t xml:space="preserve"> vernieuwd</w:t>
      </w:r>
    </w:p>
    <w:p>
      <w:pPr>
        <w:pStyle w:val="T1"/>
        <w:jc w:val="start"/>
        <w:rPr>
          <w:szCs w:val="24"/>
          <w:lang w:val="nl-NL"/>
        </w:rPr>
      </w:pPr>
      <w:r>
        <w:rPr>
          <w:szCs w:val="24"/>
          <w:lang w:val="nl-NL"/>
        </w:rPr>
      </w:r>
    </w:p>
    <w:p>
      <w:pPr>
        <w:pStyle w:val="T1"/>
        <w:jc w:val="start"/>
        <w:rPr>
          <w:szCs w:val="24"/>
          <w:lang w:val="nl-NL"/>
        </w:rPr>
      </w:pPr>
      <w:r>
        <w:rPr>
          <w:szCs w:val="24"/>
          <w:lang w:val="nl-NL"/>
        </w:rPr>
        <w:t>Pels &amp; Van Leeuwen 2008</w:t>
      </w:r>
    </w:p>
    <w:p>
      <w:pPr>
        <w:pStyle w:val="T1"/>
        <w:jc w:val="start"/>
        <w:rPr>
          <w:szCs w:val="24"/>
          <w:lang w:val="nl-NL"/>
        </w:rPr>
      </w:pPr>
      <w:r>
        <w:rPr>
          <w:szCs w:val="24"/>
          <w:lang w:val="nl-NL"/>
        </w:rPr>
        <w:t>.</w:t>
        <w:tab/>
        <w:t>schoonmaak en herstel</w:t>
      </w:r>
    </w:p>
    <w:p>
      <w:pPr>
        <w:pStyle w:val="T1"/>
        <w:jc w:val="start"/>
        <w:rPr>
          <w:szCs w:val="24"/>
          <w:lang w:val="nl-NL"/>
        </w:rPr>
      </w:pPr>
      <w:r>
        <w:rPr>
          <w:szCs w:val="24"/>
          <w:lang w:val="nl-NL"/>
        </w:rPr>
        <w:t>.</w:t>
        <w:tab/>
        <w:t>membranen vervangen; pneumatiek gereviseerd</w:t>
      </w:r>
    </w:p>
    <w:p>
      <w:pPr>
        <w:pStyle w:val="T1"/>
        <w:jc w:val="start"/>
        <w:rPr>
          <w:szCs w:val="24"/>
          <w:lang w:val="nl-NL"/>
        </w:rPr>
      </w:pPr>
      <w:r>
        <w:rPr>
          <w:szCs w:val="24"/>
          <w:lang w:val="nl-NL"/>
        </w:rPr>
        <w:t>.</w:t>
        <w:tab/>
        <w:t>enkele ontbrekende pijpjes in het hoogste octaaf van Man II bijgezocht</w:t>
      </w:r>
    </w:p>
    <w:p>
      <w:pPr>
        <w:pStyle w:val="T1"/>
        <w:jc w:val="start"/>
        <w:rPr>
          <w:szCs w:val="24"/>
          <w:lang w:val="nl-NL"/>
        </w:rPr>
      </w:pPr>
      <w:r>
        <w:rPr>
          <w:szCs w:val="24"/>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62" w:type="dxa"/>
        <w:jc w:val="start"/>
        <w:tblInd w:w="-70" w:type="dxa"/>
        <w:tblLayout w:type="fixed"/>
        <w:tblCellMar>
          <w:top w:w="0" w:type="dxa"/>
          <w:start w:w="70" w:type="dxa"/>
          <w:bottom w:w="0" w:type="dxa"/>
          <w:end w:w="70" w:type="dxa"/>
        </w:tblCellMar>
      </w:tblPr>
      <w:tblGrid>
        <w:gridCol w:w="1510"/>
        <w:gridCol w:w="721"/>
        <w:gridCol w:w="1690"/>
        <w:gridCol w:w="375"/>
        <w:gridCol w:w="1077"/>
        <w:gridCol w:w="689"/>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Normal"/>
              <w:rPr>
                <w:rFonts w:ascii="Times New Roman" w:hAnsi="Times New Roman" w:cs="Times New Roman"/>
                <w:spacing w:val="-2"/>
                <w:sz w:val="20"/>
              </w:rPr>
            </w:pPr>
            <w:r>
              <w:rPr>
                <w:rFonts w:cs="Times New Roman" w:ascii="Times New Roman" w:hAnsi="Times New Roman"/>
                <w:spacing w:val="-2"/>
                <w:sz w:val="20"/>
              </w:rPr>
              <w:t>Bourdon</w:t>
            </w:r>
          </w:p>
          <w:p>
            <w:pPr>
              <w:pStyle w:val="Normal"/>
              <w:rPr>
                <w:rFonts w:ascii="Times New Roman" w:hAnsi="Times New Roman" w:cs="Times New Roman"/>
                <w:spacing w:val="-2"/>
                <w:sz w:val="20"/>
              </w:rPr>
            </w:pPr>
            <w:r>
              <w:rPr>
                <w:rFonts w:cs="Times New Roman" w:ascii="Times New Roman" w:hAnsi="Times New Roman"/>
                <w:spacing w:val="-2"/>
                <w:sz w:val="20"/>
              </w:rPr>
              <w:t>Principal</w:t>
            </w:r>
          </w:p>
          <w:p>
            <w:pPr>
              <w:pStyle w:val="Normal"/>
              <w:rPr>
                <w:rFonts w:ascii="Times New Roman" w:hAnsi="Times New Roman" w:cs="Times New Roman"/>
                <w:spacing w:val="-2"/>
                <w:sz w:val="20"/>
              </w:rPr>
            </w:pPr>
            <w:r>
              <w:rPr>
                <w:rFonts w:cs="Times New Roman" w:ascii="Times New Roman" w:hAnsi="Times New Roman"/>
                <w:spacing w:val="-2"/>
                <w:sz w:val="20"/>
              </w:rPr>
              <w:t>Holfluit</w:t>
            </w:r>
          </w:p>
          <w:p>
            <w:pPr>
              <w:pStyle w:val="Normal"/>
              <w:rPr>
                <w:rFonts w:ascii="Times New Roman" w:hAnsi="Times New Roman" w:cs="Times New Roman"/>
                <w:spacing w:val="-2"/>
                <w:sz w:val="20"/>
              </w:rPr>
            </w:pPr>
            <w:r>
              <w:rPr>
                <w:rFonts w:cs="Times New Roman" w:ascii="Times New Roman" w:hAnsi="Times New Roman"/>
                <w:spacing w:val="-2"/>
                <w:sz w:val="20"/>
              </w:rPr>
              <w:t>Viola di Gamba</w:t>
            </w:r>
          </w:p>
          <w:p>
            <w:pPr>
              <w:pStyle w:val="Normal"/>
              <w:rPr>
                <w:rFonts w:ascii="Times New Roman" w:hAnsi="Times New Roman" w:cs="Times New Roman"/>
                <w:spacing w:val="-2"/>
                <w:sz w:val="20"/>
              </w:rPr>
            </w:pPr>
            <w:r>
              <w:rPr>
                <w:rFonts w:cs="Times New Roman" w:ascii="Times New Roman" w:hAnsi="Times New Roman"/>
                <w:spacing w:val="-2"/>
                <w:sz w:val="20"/>
              </w:rPr>
              <w:t>Octaaf</w:t>
            </w:r>
          </w:p>
          <w:p>
            <w:pPr>
              <w:pStyle w:val="T4dispositie"/>
              <w:jc w:val="start"/>
              <w:rPr>
                <w:lang w:val="nl-NL"/>
              </w:rPr>
            </w:pPr>
            <w:r>
              <w:rPr>
                <w:spacing w:val="-2"/>
                <w:lang w:val="nl-NL"/>
              </w:rPr>
              <w:t>Trompet</w:t>
            </w:r>
          </w:p>
        </w:tc>
        <w:tc>
          <w:tcPr>
            <w:tcW w:w="72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r>
              <w:rPr/>
              <w:t>'</w:t>
            </w:r>
          </w:p>
          <w:p>
            <w:pPr>
              <w:pStyle w:val="T4dispositie"/>
              <w:jc w:val="start"/>
              <w:rPr>
                <w:lang w:val="nl-NL"/>
              </w:rPr>
            </w:pPr>
            <w:r>
              <w:rPr>
                <w:lang w:val="nl-NL"/>
              </w:rPr>
              <w:t>8</w:t>
            </w:r>
            <w:r>
              <w:rPr/>
              <w:t>'</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Aeoline</w:t>
            </w:r>
          </w:p>
          <w:p>
            <w:pPr>
              <w:pStyle w:val="T4dispositie"/>
              <w:jc w:val="start"/>
              <w:rPr>
                <w:lang w:val="nl-NL"/>
              </w:rPr>
            </w:pPr>
            <w:r>
              <w:rPr>
                <w:lang w:val="nl-NL"/>
              </w:rPr>
              <w:t>Celeste</w:t>
            </w:r>
          </w:p>
          <w:p>
            <w:pPr>
              <w:pStyle w:val="T4dispositie"/>
              <w:jc w:val="start"/>
              <w:rPr>
                <w:lang w:val="nl-NL"/>
              </w:rPr>
            </w:pPr>
            <w:r>
              <w:rPr>
                <w:lang w:val="nl-NL"/>
              </w:rPr>
              <w:t>Octaviante</w:t>
            </w:r>
          </w:p>
          <w:p>
            <w:pPr>
              <w:pStyle w:val="T4dispositie"/>
              <w:jc w:val="start"/>
              <w:rPr>
                <w:lang w:val="nl-NL"/>
              </w:rPr>
            </w:pPr>
            <w:r>
              <w:rPr>
                <w:lang w:val="nl-NL"/>
              </w:rPr>
              <w:t>Violon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r>
              <w:rPr/>
              <w:t>'</w:t>
            </w:r>
          </w:p>
        </w:tc>
        <w:tc>
          <w:tcPr>
            <w:tcW w:w="1077"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68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pPr>
            <w:r>
              <w:rPr>
                <w:lang w:val="nl-NL"/>
              </w:rPr>
              <w:t>16</w:t>
            </w:r>
            <w:r>
              <w:rPr/>
              <w:t>'</w:t>
            </w:r>
            <w:r>
              <w:rPr>
                <w:lang w:val="nl-NL"/>
              </w:rPr>
              <w:t xml:space="preserve"> tr</w:t>
            </w:r>
          </w:p>
        </w:tc>
      </w:tr>
    </w:tbl>
    <w:p>
      <w:pPr>
        <w:pStyle w:val="T1"/>
        <w:jc w:val="start"/>
        <w:rPr>
          <w:lang w:val="nl-NL"/>
        </w:rPr>
      </w:pPr>
      <w:r>
        <w:rPr>
          <w:lang w:val="nl-NL"/>
        </w:rPr>
      </w:r>
    </w:p>
    <w:p>
      <w:pPr>
        <w:pStyle w:val="T1"/>
        <w:jc w:val="start"/>
        <w:rPr>
          <w:lang w:val="nl-NL"/>
        </w:rPr>
      </w:pPr>
      <w:r>
        <w:rPr>
          <w:lang w:val="nl-NL"/>
        </w:rPr>
        <w:t>Werktuiglijke registers</w:t>
      </w:r>
    </w:p>
    <w:p>
      <w:pPr>
        <w:pStyle w:val="Normal"/>
        <w:rPr>
          <w:rFonts w:ascii="Times New Roman" w:hAnsi="Times New Roman" w:cs="Times New Roman"/>
          <w:spacing w:val="-2"/>
          <w:szCs w:val="24"/>
        </w:rPr>
      </w:pPr>
      <w:r>
        <w:rPr>
          <w:rFonts w:cs="Times New Roman" w:ascii="Times New Roman" w:hAnsi="Times New Roman"/>
          <w:spacing w:val="-2"/>
          <w:szCs w:val="24"/>
        </w:rPr>
        <w:t>Pedaalkoppel I, Pedaalkoppel II, Manuaalkoppel II-I, Suboctaafkoppel II-I, Superoctaafkoppel II-I</w:t>
      </w:r>
    </w:p>
    <w:p>
      <w:pPr>
        <w:pStyle w:val="Normal"/>
        <w:rPr>
          <w:rFonts w:ascii="Times New Roman" w:hAnsi="Times New Roman" w:cs="Times New Roman"/>
          <w:spacing w:val="-2"/>
          <w:szCs w:val="24"/>
        </w:rPr>
      </w:pPr>
      <w:r>
        <w:rPr>
          <w:rFonts w:cs="Times New Roman" w:ascii="Times New Roman" w:hAnsi="Times New Roman"/>
          <w:spacing w:val="-2"/>
          <w:szCs w:val="24"/>
        </w:rPr>
        <w:t>vaste combinaties: O-P-MF-F-Tutti-trompet af</w:t>
      </w:r>
    </w:p>
    <w:p>
      <w:pPr>
        <w:pStyle w:val="T1"/>
        <w:jc w:val="start"/>
        <w:rPr>
          <w:rFonts w:ascii="Times New Roman" w:hAnsi="Times New Roman" w:cs="Times New Roman"/>
          <w:spacing w:val="-2"/>
          <w:szCs w:val="24"/>
          <w:lang w:val="nl-NL"/>
        </w:rPr>
      </w:pPr>
      <w:r>
        <w:rPr>
          <w:rFonts w:cs="Times New Roman"/>
          <w:spacing w:val="-2"/>
          <w:szCs w:val="24"/>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szCs w:val="24"/>
          <w:lang w:val="nl-NL"/>
        </w:rPr>
      </w:pPr>
      <w:r>
        <w:rPr>
          <w:i/>
          <w:iCs/>
          <w:szCs w:val="24"/>
          <w:lang w:val="nl-NL"/>
        </w:rPr>
      </w:r>
    </w:p>
    <w:p>
      <w:pPr>
        <w:pStyle w:val="Normal"/>
        <w:rPr/>
      </w:pPr>
      <w:r>
        <w:rPr>
          <w:rFonts w:cs="Times New Roman" w:ascii="Times New Roman" w:hAnsi="Times New Roman"/>
          <w:spacing w:val="-2"/>
          <w:szCs w:val="24"/>
        </w:rPr>
        <w:t xml:space="preserve">Tussen beide kassen is, tegen de voorgevel van de kerk, de grote magazijnbalg geplaatst. Deze is voorzien van een dubbele vouw en wordt omsloten door een eenvoudige kas. De windkanalen zijn deels van hout en deels van karton. </w:t>
      </w:r>
      <w:r>
        <w:rPr>
          <w:rFonts w:cs="Times New Roman" w:ascii="Times New Roman" w:hAnsi="Times New Roman"/>
          <w:szCs w:val="24"/>
        </w:rPr>
        <w:t>Op het kanaal naar de lade van Man II is in 1959 een tremulant geplaatst; een registerknop hiervoor ontbreekt.</w:t>
      </w:r>
    </w:p>
    <w:p>
      <w:pPr>
        <w:pStyle w:val="Normal"/>
        <w:rPr>
          <w:rFonts w:ascii="Times New Roman" w:hAnsi="Times New Roman" w:cs="Times New Roman"/>
          <w:spacing w:val="-2"/>
          <w:szCs w:val="24"/>
        </w:rPr>
      </w:pPr>
      <w:r>
        <w:rPr>
          <w:rFonts w:cs="Times New Roman" w:ascii="Times New Roman" w:hAnsi="Times New Roman"/>
          <w:spacing w:val="-2"/>
          <w:szCs w:val="24"/>
        </w:rPr>
        <w:t>De speeltafel bevindt zich vrijwel tegen de balustrade en is zo geplaatst dat de organist met zijn rug naar het altaar zit. Onderin de linkerkas (vanuit de kerk gezien) bevindt zich de toegang tot het oksaal.</w:t>
      </w:r>
    </w:p>
    <w:p>
      <w:pPr>
        <w:pStyle w:val="Normal"/>
        <w:rPr/>
      </w:pPr>
      <w:r>
        <w:rPr>
          <w:rFonts w:cs="Times New Roman" w:ascii="Times New Roman" w:hAnsi="Times New Roman"/>
          <w:spacing w:val="-2"/>
          <w:szCs w:val="24"/>
        </w:rPr>
        <w:t>De superoctaafkoppel is uitgebouwd tot g</w:t>
      </w:r>
      <w:r>
        <w:rPr>
          <w:rFonts w:cs="Times New Roman" w:ascii="Times New Roman" w:hAnsi="Times New Roman"/>
          <w:spacing w:val="-2"/>
          <w:szCs w:val="24"/>
          <w:vertAlign w:val="superscript"/>
        </w:rPr>
        <w:t>4</w:t>
      </w:r>
      <w:r>
        <w:rPr>
          <w:rFonts w:cs="Times New Roman" w:ascii="Times New Roman" w:hAnsi="Times New Roman"/>
          <w:spacing w:val="-2"/>
          <w:szCs w:val="24"/>
        </w:rPr>
        <w:t>. Voor zover is na te gaan bouwde Winkels hier zijn eerste orgel met een manuaalomvang van 56 tonen. De orgels van Vroomshoop (1920) en De Weijer in Boxmeer (1922) hadden nog een omvang van 54 tonen (C-f</w:t>
      </w:r>
      <w:r>
        <w:rPr>
          <w:rFonts w:cs="Times New Roman" w:ascii="Times New Roman" w:hAnsi="Times New Roman"/>
          <w:spacing w:val="-2"/>
          <w:szCs w:val="24"/>
          <w:vertAlign w:val="superscript"/>
        </w:rPr>
        <w:t>3</w:t>
      </w:r>
      <w:r>
        <w:rPr>
          <w:rFonts w:cs="Times New Roman" w:ascii="Times New Roman" w:hAnsi="Times New Roman"/>
          <w:spacing w:val="-2"/>
          <w:szCs w:val="24"/>
        </w:rPr>
        <w:t>). De registerwippers zijn in een horizontale rij boven Man II aangebracht met de beide pedaalkoppels links, daarnaast de Subbas, daarnaast de registers van Man I, dan de overige koppelingen en rechts de registers van Man II. De registerwippers hebben deels gekleurde naamplaatjes: voor de Subbas blauw, voor Man I wit en voor de Aeoline 8</w:t>
      </w:r>
      <w:r>
        <w:rPr>
          <w:rFonts w:cs="Times New Roman" w:ascii="Times New Roman" w:hAnsi="Times New Roman"/>
        </w:rPr>
        <w:t>'</w:t>
      </w:r>
      <w:r>
        <w:rPr>
          <w:rFonts w:cs="Times New Roman" w:ascii="Times New Roman" w:hAnsi="Times New Roman"/>
          <w:spacing w:val="-2"/>
          <w:szCs w:val="24"/>
        </w:rPr>
        <w:t xml:space="preserve"> roze. Vermoedelijk waren de overige plaatjes van Man II ook roze maar deze zijn zo verbleekt dat zelfs de opschriften nauwelijks nog leesbaar zijn. Bij de koppelingen zijn combinaties van de betreffende kleuren toegepast. In de lijst onder Man I zijn drukknoppen aangebracht voor de vaste combinaties en trompet af.</w:t>
      </w:r>
    </w:p>
    <w:p>
      <w:pPr>
        <w:pStyle w:val="T1"/>
        <w:jc w:val="start"/>
        <w:rPr>
          <w:szCs w:val="24"/>
          <w:lang w:val="nl-NL"/>
        </w:rPr>
      </w:pPr>
      <w:r>
        <w:rPr>
          <w:szCs w:val="24"/>
          <w:lang w:val="nl-NL"/>
        </w:rPr>
        <w:t>De windladen zijn kegelladen met pneumatische tractuur.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szCs w:val="24"/>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Cs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2010-03-21T16:27:00Z</dcterms:created>
  <dc:creator>WS1</dc:creator>
  <dc:description/>
  <dc:language>en-US</dc:language>
  <cp:lastModifiedBy>NIvO</cp:lastModifiedBy>
  <dcterms:modified xsi:type="dcterms:W3CDTF">2010-03-23T16:17:00Z</dcterms:modified>
  <cp:revision>3</cp:revision>
  <dc:subject/>
  <dc:title>Utrecht / 1880</dc:title>
</cp:coreProperties>
</file>