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Kloosterburen / 1925</w:t>
      </w:r>
    </w:p>
    <w:p>
      <w:pPr>
        <w:pStyle w:val="Heading2"/>
        <w:rPr>
          <w:i w:val="false"/>
          <w:i w:val="false"/>
          <w:iCs/>
        </w:rPr>
      </w:pPr>
      <w:r>
        <w:rPr>
          <w:i w:val="false"/>
          <w:iCs/>
        </w:rPr>
        <w:t>R.K. St-Willibrorduskerk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i/>
          <w:iCs/>
        </w:rPr>
        <w:t>Kerkgebouw uit 1868-69 naar ontwerp van P.J.H. Cuypers. Het koor is in 1903 vergroot door Jos. Cuypers. Inrichting grotendeels uit de bouwtijd.</w:t>
      </w:r>
    </w:p>
    <w:p>
      <w:pPr>
        <w:pStyle w:val="T1"/>
        <w:jc w:val="start"/>
        <w:rPr>
          <w:rFonts w:ascii="Times New Roman" w:hAnsi="Times New Roman" w:cs="Times New Roman"/>
          <w:i/>
          <w:i/>
          <w:iCs/>
          <w:lang w:val="nl-NL"/>
        </w:rPr>
      </w:pPr>
      <w:r>
        <w:rPr>
          <w:rFonts w:cs="Times New Roman"/>
          <w:i/>
          <w:iCs/>
          <w:lang w:val="nl-NL"/>
        </w:rPr>
      </w:r>
    </w:p>
    <w:p>
      <w:pPr>
        <w:pStyle w:val="T1"/>
        <w:jc w:val="start"/>
        <w:rPr>
          <w:lang w:val="nl-NL"/>
        </w:rPr>
      </w:pPr>
      <w:r>
        <w:rPr>
          <w:lang w:val="nl-NL"/>
        </w:rPr>
        <w:t>Kas: 1925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Het orgel van Kloosterburen heeft een typische Adema-vormgeving: haast achteloos lijken de zinken frontpijpen naast elkaar in vlakke velden te zijn geordend. Het enige sierelement is de verspringing van de pijpuiteinden: om de pijp steekt er een pijp boven de contour van het veld uit, zodat in feite een tegenbeweging tussen twee contourlijnen ontstaat. De velden worden gescheiden vlakke stijlen zonder versiering. Elk veld heeft verder een pijpenband, eveneens gevormd door een lat; de pijpenbanden hebben een simpele dubbele kraal als versiering. De zinken frontpijpen hebben spits opgeworpen labia. Er zijn zeven velden, waarvan het middelste het laagst is om het westvenster (drie eenvoudige spitsboogramen) vrij te houden. </w:t>
      </w:r>
    </w:p>
    <w:p>
      <w:pPr>
        <w:pStyle w:val="T2Kunst"/>
        <w:jc w:val="start"/>
        <w:rPr>
          <w:lang w:val="nl-NL"/>
        </w:rPr>
      </w:pPr>
      <w:r>
        <w:rPr>
          <w:lang w:val="nl-NL"/>
        </w:rPr>
        <w:t>De onderkast wordt gevormd door stijl- en regelwerk in de ongeschilderde houtkleur van de stijlen en pijpenbanden in het pijpenfront, met groen gebeitste panelen. Dit stijl- en regelwerk met panelen zet zich tegen de zijmuren van de orgelzolder door als lambrisering.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1 Hunsingo</w:t>
      </w:r>
      <w:r>
        <w:rPr>
          <w:lang w:val="nl-NL"/>
        </w:rPr>
        <w:t>, Groningen (1994), 42-43.</w:t>
      </w:r>
    </w:p>
    <w:p>
      <w:pPr>
        <w:pStyle w:val="T3Lit"/>
        <w:jc w:val="start"/>
        <w:rPr>
          <w:lang w:val="nl-NL"/>
        </w:rPr>
      </w:pPr>
      <w:r>
        <w:rPr>
          <w:lang w:val="nl-NL"/>
        </w:rPr>
      </w:r>
    </w:p>
    <w:p>
      <w:pPr>
        <w:pStyle w:val="T3Lit"/>
        <w:jc w:val="start"/>
        <w:rPr>
          <w:lang w:val="nl-NL"/>
        </w:rPr>
      </w:pPr>
      <w:r>
        <w:rPr>
          <w:lang w:val="nl-NL"/>
        </w:rPr>
        <w:t>Monumentnummer 509515</w:t>
      </w:r>
    </w:p>
    <w:p>
      <w:pPr>
        <w:pStyle w:val="T3Lit"/>
        <w:jc w:val="start"/>
        <w:rPr>
          <w:lang w:val="nl-NL"/>
        </w:rPr>
      </w:pPr>
      <w:r>
        <w:rPr>
          <w:lang w:val="nl-NL"/>
        </w:rPr>
        <w:t>Orgelnummer 2127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Josephus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1925</w:t>
      </w:r>
    </w:p>
    <w:p>
      <w:pPr>
        <w:pStyle w:val="T1"/>
        <w:jc w:val="start"/>
        <w:rPr>
          <w:lang w:val="nl-NL"/>
        </w:rPr>
      </w:pPr>
      <w:r>
        <w:rPr>
          <w:lang w:val="nl-NL"/>
        </w:rPr>
      </w:r>
    </w:p>
    <w:p>
      <w:pPr>
        <w:pStyle w:val="T1"/>
        <w:jc w:val="start"/>
        <w:rPr>
          <w:lang w:val="nl-NL"/>
        </w:rPr>
      </w:pPr>
      <w:r>
        <w:rPr>
          <w:lang w:val="nl-NL"/>
        </w:rPr>
        <w:t>1979</w:t>
      </w:r>
    </w:p>
    <w:p>
      <w:pPr>
        <w:pStyle w:val="T1"/>
        <w:jc w:val="start"/>
        <w:rPr>
          <w:lang w:val="nl-NL"/>
        </w:rPr>
      </w:pPr>
      <w:r>
        <w:rPr>
          <w:lang w:val="nl-NL"/>
        </w:rPr>
        <w:t>.</w:t>
        <w:tab/>
        <w:t>orgel buiten gebruik gesteld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870"/>
        <w:gridCol w:w="900"/>
        <w:gridCol w:w="1620"/>
        <w:gridCol w:w="540"/>
        <w:gridCol w:w="1567"/>
        <w:gridCol w:w="953"/>
      </w:tblGrid>
      <w:tr>
        <w:trPr/>
        <w:tc>
          <w:tcPr>
            <w:tcW w:w="1870" w:type="dxa"/>
            <w:tcBorders/>
          </w:tcPr>
          <w:p>
            <w:pPr>
              <w:pStyle w:val="T4dispositie"/>
              <w:jc w:val="start"/>
              <w:rPr>
                <w:lang w:val="nl-NL"/>
              </w:rPr>
            </w:pPr>
            <w:r>
              <w:rPr>
                <w:i/>
                <w:iCs/>
                <w:lang w:val="nl-NL"/>
              </w:rPr>
              <w:t>Manuaal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Bouron</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Mixtuur</w:t>
            </w:r>
          </w:p>
          <w:p>
            <w:pPr>
              <w:pStyle w:val="T4dispositie"/>
              <w:jc w:val="start"/>
              <w:rPr>
                <w:lang w:val="nl-NL"/>
              </w:rPr>
            </w:pPr>
            <w:r>
              <w:rPr>
                <w:lang w:val="nl-NL"/>
              </w:rPr>
              <w:t>Trompet Harm.</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2-3-4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Manuaal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pPr>
            <w:r>
              <w:rPr/>
              <w:t>Holpyp</w:t>
            </w:r>
          </w:p>
          <w:p>
            <w:pPr>
              <w:pStyle w:val="T4dispositie"/>
              <w:jc w:val="start"/>
              <w:rPr/>
            </w:pPr>
            <w:r>
              <w:rPr/>
              <w:t>Viola di Gamba</w:t>
            </w:r>
          </w:p>
          <w:p>
            <w:pPr>
              <w:pStyle w:val="T4dispositie"/>
              <w:jc w:val="start"/>
              <w:rPr/>
            </w:pPr>
            <w:r>
              <w:rPr/>
              <w:t>Dolce</w:t>
            </w:r>
          </w:p>
          <w:p>
            <w:pPr>
              <w:pStyle w:val="T4dispositie"/>
              <w:jc w:val="start"/>
              <w:rPr/>
            </w:pPr>
            <w:r>
              <w:rPr/>
              <w:t>Vox Coelestis</w:t>
            </w:r>
          </w:p>
          <w:p>
            <w:pPr>
              <w:pStyle w:val="T4dispositie"/>
              <w:jc w:val="start"/>
              <w:rPr/>
            </w:pPr>
            <w:r>
              <w:rPr/>
              <w:t>Flute Harm.</w:t>
            </w:r>
          </w:p>
          <w:p>
            <w:pPr>
              <w:pStyle w:val="T4dispositie"/>
              <w:jc w:val="start"/>
              <w:rPr/>
            </w:pPr>
            <w:r>
              <w:rPr/>
              <w:t>Piccolo</w:t>
            </w:r>
          </w:p>
          <w:p>
            <w:pPr>
              <w:pStyle w:val="T4dispositie"/>
              <w:jc w:val="start"/>
              <w:rPr/>
            </w:pPr>
            <w:r>
              <w:rPr/>
              <w:t>Melophoon</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2'</w:t>
            </w:r>
          </w:p>
          <w:p>
            <w:pPr>
              <w:pStyle w:val="T4dispositie"/>
              <w:jc w:val="start"/>
              <w:rPr/>
            </w:pPr>
            <w:r>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Gedektbas</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 16', II+II 16', P+I, P+II</w:t>
      </w:r>
    </w:p>
    <w:p>
      <w:pPr>
        <w:pStyle w:val="T1"/>
        <w:jc w:val="start"/>
        <w:rPr>
          <w:szCs w:val="24"/>
          <w:lang w:val="nl-NL"/>
        </w:rPr>
      </w:pPr>
      <w:r>
        <w:rPr>
          <w:szCs w:val="24"/>
          <w:lang w:val="nl-NL"/>
        </w:rPr>
        <w:t>regelbaar Aut. Ped. (naar keuze met of zonder Gedektbas)</w:t>
      </w:r>
    </w:p>
    <w:p>
      <w:pPr>
        <w:pStyle w:val="T1"/>
        <w:jc w:val="start"/>
        <w:rPr>
          <w:szCs w:val="24"/>
          <w:lang w:val="nl-NL"/>
        </w:rPr>
      </w:pPr>
      <w:r>
        <w:rPr>
          <w:szCs w:val="24"/>
          <w:lang w:val="nl-NL"/>
        </w:rPr>
        <w:t>vrije combinatie</w:t>
      </w:r>
    </w:p>
    <w:p>
      <w:pPr>
        <w:pStyle w:val="T1"/>
        <w:jc w:val="start"/>
        <w:rPr>
          <w:szCs w:val="24"/>
          <w:lang w:val="nl-NL"/>
        </w:rPr>
      </w:pPr>
      <w:r>
        <w:rPr>
          <w:szCs w:val="24"/>
          <w:lang w:val="nl-NL"/>
        </w:rPr>
        <w:t>vaste combinaties PP, P, MF, F, T</w:t>
      </w:r>
    </w:p>
    <w:p>
      <w:pPr>
        <w:pStyle w:val="T1"/>
        <w:jc w:val="start"/>
        <w:rPr>
          <w:szCs w:val="24"/>
          <w:lang w:val="nl-NL"/>
        </w:rPr>
      </w:pPr>
      <w:r>
        <w:rPr>
          <w:szCs w:val="24"/>
          <w:lang w:val="nl-NL"/>
        </w:rPr>
        <w:t>vrije combinatie</w:t>
      </w:r>
    </w:p>
    <w:p>
      <w:pPr>
        <w:pStyle w:val="T1"/>
        <w:jc w:val="start"/>
        <w:rPr>
          <w:szCs w:val="24"/>
          <w:lang w:val="nl-NL"/>
        </w:rPr>
      </w:pPr>
      <w:r>
        <w:rPr>
          <w:szCs w:val="24"/>
          <w:lang w:val="nl-NL"/>
        </w:rPr>
        <w:t>twee oplossers: voor de vaste combinaties en voor de vrije combinatie</w:t>
      </w:r>
    </w:p>
    <w:p>
      <w:pPr>
        <w:pStyle w:val="T1"/>
        <w:jc w:val="start"/>
        <w:rPr>
          <w:szCs w:val="24"/>
          <w:lang w:val="nl-NL"/>
        </w:rPr>
      </w:pPr>
      <w:r>
        <w:rPr>
          <w:szCs w:val="24"/>
          <w:lang w:val="nl-NL"/>
        </w:rPr>
        <w:t>registerknoppen generaalcrescendo en zwelkast</w:t>
      </w:r>
    </w:p>
    <w:p>
      <w:pPr>
        <w:pStyle w:val="T1"/>
        <w:jc w:val="start"/>
        <w:rPr>
          <w:szCs w:val="24"/>
          <w:lang w:val="nl-NL"/>
        </w:rPr>
      </w:pPr>
      <w:r>
        <w:rPr>
          <w:szCs w:val="24"/>
          <w:lang w:val="nl-NL"/>
        </w:rPr>
        <w:t>tremulant II</w:t>
      </w:r>
    </w:p>
    <w:p>
      <w:pPr>
        <w:pStyle w:val="T1"/>
        <w:jc w:val="start"/>
        <w:rPr>
          <w:szCs w:val="24"/>
          <w:lang w:val="nl-NL"/>
        </w:rPr>
      </w:pPr>
      <w:r>
        <w:rPr>
          <w:szCs w:val="24"/>
          <w:lang w:val="nl-NL"/>
        </w:rPr>
        <w:t>trede zwelkast Man II</w:t>
      </w:r>
    </w:p>
    <w:p>
      <w:pPr>
        <w:pStyle w:val="T1"/>
        <w:jc w:val="start"/>
        <w:rPr>
          <w:lang w:val="nl-NL"/>
        </w:rPr>
      </w:pPr>
      <w:r>
        <w:rPr>
          <w:lang w:val="nl-NL"/>
        </w:rPr>
        <w:t>trede generaal crescendo</w:t>
      </w:r>
    </w:p>
    <w:p>
      <w:pPr>
        <w:pStyle w:val="T1"/>
        <w:jc w:val="start"/>
        <w:rPr>
          <w:lang w:val="nl-NL"/>
        </w:rPr>
      </w:pPr>
      <w:r>
        <w:rPr>
          <w:lang w:val="nl-NL"/>
        </w:rPr>
      </w:r>
    </w:p>
    <w:p>
      <w:pPr>
        <w:pStyle w:val="T1"/>
        <w:jc w:val="start"/>
        <w:rPr>
          <w:lang w:val="nl-NL"/>
        </w:rPr>
      </w:pPr>
      <w:r>
        <w:rPr>
          <w:szCs w:val="24"/>
          <w:lang w:val="nl-NL"/>
        </w:rPr>
        <w:t>Samenstelling vulstemmen</w:t>
      </w:r>
    </w:p>
    <w:tbl>
      <w:tblPr>
        <w:tblW w:w="4570" w:type="dxa"/>
        <w:jc w:val="start"/>
        <w:tblInd w:w="-70" w:type="dxa"/>
        <w:tblLayout w:type="fixed"/>
        <w:tblCellMar>
          <w:top w:w="0" w:type="dxa"/>
          <w:start w:w="70" w:type="dxa"/>
          <w:bottom w:w="0" w:type="dxa"/>
          <w:end w:w="70" w:type="dxa"/>
        </w:tblCellMar>
      </w:tblPr>
      <w:tblGrid>
        <w:gridCol w:w="169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twee regulateurs</w:t>
      </w:r>
    </w:p>
    <w:p>
      <w:pPr>
        <w:pStyle w:val="T1"/>
        <w:jc w:val="start"/>
        <w:rPr>
          <w:lang w:val="nl-NL"/>
        </w:rPr>
      </w:pPr>
      <w:r>
        <w:rPr>
          <w:lang w:val="nl-NL"/>
        </w:rPr>
        <w:t>Winddruk</w:t>
      </w:r>
    </w:p>
    <w:p>
      <w:pPr>
        <w:pStyle w:val="T1"/>
        <w:jc w:val="start"/>
        <w:rPr>
          <w:lang w:val="nl-NL"/>
        </w:rPr>
      </w:pPr>
      <w:r>
        <w:rPr>
          <w:lang w:val="nl-NL"/>
        </w:rPr>
        <w:t>97 mm wk</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omgekeerd</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szCs w:val="24"/>
          <w:lang w:val="nl-NL"/>
        </w:rPr>
      </w:pPr>
      <w:r>
        <w:rPr>
          <w:i/>
          <w:iCs/>
          <w:szCs w:val="24"/>
          <w:lang w:val="nl-NL"/>
        </w:rPr>
      </w:r>
    </w:p>
    <w:p>
      <w:pPr>
        <w:pStyle w:val="T1"/>
        <w:jc w:val="start"/>
        <w:rPr>
          <w:szCs w:val="24"/>
          <w:lang w:val="nl-NL"/>
        </w:rPr>
      </w:pPr>
      <w:r>
        <w:rPr>
          <w:szCs w:val="24"/>
          <w:lang w:val="nl-NL"/>
        </w:rPr>
        <w:t>Het orgel staat in de torenruimte. Het is pneumatisch (wisselwind) en heeft kegelladen; de frontladen zijn uitgevoerd als Taschenladen met liggende Taschen. De zwelkast staat direct achter het middendeel van het front, en is daarom laag gehouden, waardoor groter pijpwerk soms tweemaal is gekropt. Links en rechts van de zwelkast bevinden zich C- en Cislade van Manuaal I; veel pijpen zijn ook daar gekropt en volgen de vorm van het gewelf boven het orgel. Tegen de achtermuur staat het pijpwerk van Subbas 16' en Gedektbas 8', die samen een unit vormen.</w:t>
      </w:r>
    </w:p>
    <w:p>
      <w:pPr>
        <w:pStyle w:val="T1"/>
        <w:jc w:val="start"/>
        <w:rPr>
          <w:szCs w:val="24"/>
          <w:lang w:val="nl-NL"/>
        </w:rPr>
      </w:pPr>
      <w:r>
        <w:rPr>
          <w:szCs w:val="24"/>
          <w:lang w:val="nl-NL"/>
        </w:rPr>
        <w:t>Boven de speeltafel bevindt zich een houten baldakijn; links en rechts van de speeltafel zijn deuren aangebracht, zodat er een ‘huisje’ rond de speeltafel ontstaat.</w:t>
      </w:r>
    </w:p>
    <w:p>
      <w:pPr>
        <w:pStyle w:val="T1"/>
        <w:jc w:val="start"/>
        <w:rPr>
          <w:szCs w:val="24"/>
          <w:lang w:val="nl-NL"/>
        </w:rPr>
      </w:pPr>
      <w:r>
        <w:rPr>
          <w:szCs w:val="24"/>
          <w:lang w:val="nl-NL"/>
        </w:rPr>
        <w:t xml:space="preserve">Dit Adema-orgel is geheel origineel, en in alle delen op standaard-Ademawijze gebouwd: alle registers op een rij boven Manuaal II, in de onderlijst onder Manuaal de drukknoppen voor automatisch pedaal, vaste combinaties en de vrije combinatie. Opmerkelijk zijn de twee registertrekkers rechts naast de manualen, waarmee het registercrescendo en de zwelkast ook met de hand bediend kunnen worden; voor beide zijn overigens ook balanstreden aangebracht. Boven deze registertrekkers bevindt zich een wijzerplaat met een bijzonder precieze aanduiding van het aantal registers dat door het registercrescendo is ingeschakeld. </w:t>
      </w:r>
    </w:p>
    <w:p>
      <w:pPr>
        <w:pStyle w:val="T1"/>
        <w:jc w:val="start"/>
        <w:rPr>
          <w:szCs w:val="24"/>
          <w:lang w:val="nl-NL"/>
        </w:rPr>
      </w:pPr>
      <w:r>
        <w:rPr>
          <w:szCs w:val="24"/>
          <w:lang w:val="nl-NL"/>
        </w:rPr>
        <w:t xml:space="preserve">Op de registertuimelaars geen voetteken achter de voetmaten. Het Automatisch Pedaal is buiten de Vrije combinatie gehouden. De Vrije combinatie wordt samengesteld met forse penschakelaars boven de registertuimelaars. </w:t>
      </w:r>
    </w:p>
    <w:p>
      <w:pPr>
        <w:pStyle w:val="T1"/>
        <w:jc w:val="start"/>
        <w:rPr>
          <w:szCs w:val="24"/>
          <w:lang w:val="nl-NL"/>
        </w:rPr>
      </w:pPr>
      <w:r>
        <w:rPr>
          <w:szCs w:val="24"/>
          <w:lang w:val="nl-NL"/>
        </w:rPr>
        <w:t>Het orgel wordt in 2011 gerestaureerd.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Standaardalinealettertype">
    <w:name w:val="Standaardalinea-lettertype"/>
    <w:qFormat/>
    <w:rPr/>
  </w:style>
  <w:style w:type="character" w:styleId="FootnoteCharacters">
    <w:name w:val="Foot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2010-03-23T16:27:00Z</dcterms:created>
  <dc:creator>WS1</dc:creator>
  <dc:description/>
  <dc:language>en-US</dc:language>
  <cp:lastModifiedBy>NIvO</cp:lastModifiedBy>
  <dcterms:modified xsi:type="dcterms:W3CDTF">2010-03-23T16:33:00Z</dcterms:modified>
  <cp:revision>3</cp:revision>
  <dc:subject/>
  <dc:title>Zeeland / 1895</dc:title>
</cp:coreProperties>
</file>