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Amsterdam-Nieuwendam / 1926</w:t>
      </w:r>
    </w:p>
    <w:p>
      <w:pPr>
        <w:pStyle w:val="Heading2"/>
        <w:rPr>
          <w:i w:val="false"/>
          <w:i w:val="false"/>
          <w:iCs/>
        </w:rPr>
      </w:pPr>
      <w:r>
        <w:rPr>
          <w:i w:val="false"/>
          <w:iCs/>
        </w:rPr>
        <w:t>R.K. Kerk St-Augustinus</w:t>
      </w:r>
    </w:p>
    <w:p>
      <w:pPr>
        <w:pStyle w:val="T1"/>
        <w:jc w:val="start"/>
        <w:rPr>
          <w:i/>
          <w:i/>
          <w:iCs/>
          <w:lang w:val="nl-NL"/>
        </w:rPr>
      </w:pPr>
      <w:r>
        <w:rPr>
          <w:i/>
          <w:iCs/>
          <w:lang w:val="nl-NL"/>
        </w:rPr>
      </w:r>
    </w:p>
    <w:p>
      <w:pPr>
        <w:pStyle w:val="T1"/>
        <w:jc w:val="start"/>
        <w:rPr/>
      </w:pPr>
      <w:r>
        <w:rPr>
          <w:i/>
          <w:iCs/>
          <w:lang w:val="nl-NL"/>
        </w:rPr>
        <w:t>Neogotische pseudo-basilicale kruiskerk met een vijfzijdig gesloten koor, gebouwd in 1888-89 naar een ontwerp van Alfred Tepe. De hoge uitgebouwde zuidtoren heeft vier geledingen en een ingesnoerde achtzijdige spits. In de toren een klokkenstoel met een klok uit 1911 van Petit und Gebr. Edelbrock-Eijsbout. In het abscis glas-in-loodramen van Van Soest en Willemse (19</w:t>
      </w:r>
      <w:r>
        <w:rPr>
          <w:i/>
          <w:iCs/>
          <w:vertAlign w:val="superscript"/>
          <w:lang w:val="nl-NL"/>
        </w:rPr>
        <w:t>e</w:t>
      </w:r>
      <w:r>
        <w:rPr>
          <w:i/>
          <w:iCs/>
          <w:lang w:val="nl-NL"/>
        </w:rPr>
        <w:t>-eeuws), in het schip van Gisèle Waterschoot (20e-eeuws). Verder vijf 18e-eeuwse statieschilderijen van Adriaan van de Velde afkomstig uit de voormalige Augustijner schuilkerk 'De Star' op het Rusland.</w:t>
      </w:r>
    </w:p>
    <w:p>
      <w:pPr>
        <w:pStyle w:val="T1"/>
        <w:jc w:val="start"/>
        <w:rPr>
          <w:i/>
          <w:i/>
          <w:iCs/>
          <w:lang w:val="nl-NL"/>
        </w:rPr>
      </w:pPr>
      <w:r>
        <w:rPr>
          <w:i/>
          <w:iCs/>
          <w:lang w:val="nl-NL"/>
        </w:rPr>
      </w:r>
    </w:p>
    <w:p>
      <w:pPr>
        <w:pStyle w:val="T1"/>
        <w:jc w:val="start"/>
        <w:rPr>
          <w:lang w:val="nl-NL"/>
        </w:rPr>
      </w:pPr>
      <w:r>
        <w:rPr>
          <w:lang w:val="nl-NL"/>
        </w:rPr>
        <w:t>Kas: 1926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De twee aan weerszijden van het raam opgestelde eiken kassen laten een eenvoudig front zien. Op de hoeken vierkanten torens en daarnaast aan de voorzijde een vlak veld. De V-vormige labiumlijn van de pijpen in de torens loopt door in die van de velden: naar weerszijden schuin omhoog. De torens hebben aan de bovenkant sober vormgegeven kantelen met eenvoudig lijstwerk. In de lange zijde van de linkerkas zijn de jaloezieën aangebracht, in de rechter panelen. De onderkassen bestaan uit eenvoudige vierkanten panelen.</w:t>
      </w:r>
    </w:p>
    <w:p>
      <w:pPr>
        <w:pStyle w:val="T2Kunst"/>
        <w:jc w:val="start"/>
        <w:rPr>
          <w:lang w:val="nl-NL"/>
        </w:rPr>
      </w:pPr>
      <w:r>
        <w:rPr>
          <w:lang w:val="nl-NL"/>
        </w:rPr>
      </w:r>
    </w:p>
    <w:p>
      <w:pPr>
        <w:pStyle w:val="T3Lit"/>
        <w:jc w:val="start"/>
        <w:rPr>
          <w:i/>
          <w:i/>
          <w:iCs/>
          <w:lang w:val="nl-NL"/>
        </w:rPr>
      </w:pPr>
      <w:r>
        <w:rPr>
          <w:b/>
          <w:bCs/>
          <w:lang w:val="nl-NL"/>
        </w:rPr>
        <w:t>Literatuur</w:t>
      </w:r>
    </w:p>
    <w:p>
      <w:pPr>
        <w:pStyle w:val="T3Lit"/>
        <w:jc w:val="start"/>
        <w:rPr/>
      </w:pPr>
      <w:r>
        <w:rPr>
          <w:lang w:val="nl-NL"/>
        </w:rPr>
        <w:t xml:space="preserve">Simon van Blokland, </w:t>
      </w:r>
      <w:r>
        <w:rPr>
          <w:i/>
          <w:iCs/>
          <w:lang w:val="nl-NL"/>
        </w:rPr>
        <w:t>Rooms-katholieke kerken in Amsterdam 1306-1935</w:t>
      </w:r>
      <w:r>
        <w:rPr>
          <w:lang w:val="nl-NL"/>
        </w:rPr>
        <w:t>. Amsterdam, 2002.</w:t>
      </w:r>
    </w:p>
    <w:p>
      <w:pPr>
        <w:pStyle w:val="T3Lit"/>
        <w:jc w:val="start"/>
        <w:rPr/>
      </w:pPr>
      <w:r>
        <w:rPr>
          <w:lang w:val="nl-NL"/>
        </w:rPr>
        <w:t xml:space="preserve">Cor Boer, Theo Proeskie, </w:t>
      </w:r>
      <w:r>
        <w:rPr>
          <w:i/>
          <w:iCs/>
          <w:lang w:val="nl-NL"/>
        </w:rPr>
        <w:t>Orgels in Amsterdam 1, Rooms-Katholieke en Oud-Katholieke kerken en instellingen</w:t>
      </w:r>
      <w:r>
        <w:rPr>
          <w:lang w:val="nl-NL"/>
        </w:rPr>
        <w:t>. Amsterdam, 1980, 34, 84.</w:t>
      </w:r>
    </w:p>
    <w:p>
      <w:pPr>
        <w:pStyle w:val="T3Lit"/>
        <w:jc w:val="start"/>
        <w:rPr/>
      </w:pPr>
      <w:r>
        <w:rPr>
          <w:lang w:val="nl-NL"/>
        </w:rPr>
        <w:t xml:space="preserve">Lex Lases (red), </w:t>
      </w:r>
      <w:r>
        <w:rPr>
          <w:i/>
          <w:iCs/>
          <w:lang w:val="nl-NL"/>
        </w:rPr>
        <w:t>Adema 150 jaar orgelbouw</w:t>
      </w:r>
      <w:r>
        <w:rPr>
          <w:lang w:val="nl-NL"/>
        </w:rPr>
        <w:t>. Hillegom, 2006, 38-39, 55, 74.</w:t>
      </w:r>
    </w:p>
    <w:p>
      <w:pPr>
        <w:pStyle w:val="T3Lit"/>
        <w:jc w:val="start"/>
        <w:rPr>
          <w:lang w:val="nl-NL"/>
        </w:rPr>
      </w:pPr>
      <w:r>
        <w:rPr>
          <w:lang w:val="nl-NL"/>
        </w:rPr>
      </w:r>
    </w:p>
    <w:p>
      <w:pPr>
        <w:pStyle w:val="T3Lit"/>
        <w:jc w:val="start"/>
        <w:rPr>
          <w:lang w:val="nl-NL"/>
        </w:rPr>
      </w:pPr>
      <w:r>
        <w:rPr>
          <w:lang w:val="nl-NL"/>
        </w:rPr>
        <w:t>Monumentnummer 508533</w:t>
      </w:r>
    </w:p>
    <w:p>
      <w:pPr>
        <w:pStyle w:val="T3Lit"/>
        <w:jc w:val="start"/>
        <w:rPr>
          <w:lang w:val="nl-NL"/>
        </w:rPr>
      </w:pPr>
      <w:r>
        <w:rPr>
          <w:lang w:val="nl-NL"/>
        </w:rPr>
        <w:t>Orgelnummer 2053</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Sybrand Adema en J. Wisse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1926</w:t>
      </w:r>
    </w:p>
    <w:p>
      <w:pPr>
        <w:pStyle w:val="T1"/>
        <w:jc w:val="start"/>
        <w:rPr>
          <w:lang w:val="nl-NL"/>
        </w:rPr>
      </w:pPr>
      <w:r>
        <w:rPr>
          <w:lang w:val="nl-NL"/>
        </w:rPr>
      </w:r>
    </w:p>
    <w:p>
      <w:pPr>
        <w:pStyle w:val="T1"/>
        <w:jc w:val="start"/>
        <w:rPr>
          <w:lang w:val="nl-NL"/>
        </w:rPr>
      </w:pPr>
      <w:r>
        <w:rPr>
          <w:lang w:val="nl-NL"/>
        </w:rPr>
        <w:t>Hubert Schreurs 1952</w:t>
      </w:r>
    </w:p>
    <w:p>
      <w:pPr>
        <w:pStyle w:val="T1"/>
        <w:numPr>
          <w:ilvl w:val="0"/>
          <w:numId w:val="2"/>
        </w:numPr>
        <w:jc w:val="start"/>
        <w:rPr>
          <w:lang w:val="nl-NL"/>
        </w:rPr>
      </w:pPr>
      <w:r>
        <w:rPr>
          <w:lang w:val="nl-NL"/>
        </w:rPr>
        <w:t>groot onderhoud</w:t>
      </w:r>
    </w:p>
    <w:p>
      <w:pPr>
        <w:pStyle w:val="T1"/>
        <w:numPr>
          <w:ilvl w:val="0"/>
          <w:numId w:val="3"/>
        </w:numPr>
        <w:jc w:val="start"/>
        <w:rPr>
          <w:lang w:val="nl-NL"/>
        </w:rPr>
      </w:pPr>
      <w:r>
        <w:rPr>
          <w:lang w:val="nl-NL"/>
        </w:rPr>
        <w:t>Man II - Aeoline 8', + Sexquialter 2 st.</w:t>
      </w:r>
    </w:p>
    <w:p>
      <w:pPr>
        <w:pStyle w:val="T1"/>
        <w:jc w:val="start"/>
        <w:rPr>
          <w:lang w:val="nl-NL"/>
        </w:rPr>
      </w:pPr>
      <w:r>
        <w:rPr>
          <w:lang w:val="nl-NL"/>
        </w:rPr>
      </w:r>
    </w:p>
    <w:p>
      <w:pPr>
        <w:pStyle w:val="T1"/>
        <w:jc w:val="start"/>
        <w:rPr>
          <w:lang w:val="nl-NL"/>
        </w:rPr>
      </w:pPr>
      <w:r>
        <w:rPr>
          <w:lang w:val="nl-NL"/>
        </w:rPr>
        <w:t>Antoin Schreurs 1980</w:t>
      </w:r>
    </w:p>
    <w:p>
      <w:pPr>
        <w:pStyle w:val="T1"/>
        <w:numPr>
          <w:ilvl w:val="0"/>
          <w:numId w:val="3"/>
        </w:numPr>
        <w:jc w:val="start"/>
        <w:rPr>
          <w:lang w:val="nl-NL"/>
        </w:rPr>
      </w:pPr>
      <w:r>
        <w:rPr>
          <w:lang w:val="nl-NL"/>
        </w:rPr>
        <w:t>groot onderhoud</w:t>
      </w:r>
    </w:p>
    <w:p>
      <w:pPr>
        <w:pStyle w:val="T1"/>
        <w:numPr>
          <w:ilvl w:val="0"/>
          <w:numId w:val="3"/>
        </w:numPr>
        <w:jc w:val="start"/>
        <w:rPr>
          <w:lang w:val="nl-NL"/>
        </w:rPr>
      </w:pPr>
      <w:r>
        <w:rPr>
          <w:lang w:val="nl-NL"/>
        </w:rPr>
        <w:t>tremulant vervangen door een pneumatisch exemplaar</w:t>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7450" w:type="dxa"/>
        <w:jc w:val="start"/>
        <w:tblInd w:w="-70" w:type="dxa"/>
        <w:tblLayout w:type="fixed"/>
        <w:tblCellMar>
          <w:top w:w="0" w:type="dxa"/>
          <w:start w:w="70" w:type="dxa"/>
          <w:bottom w:w="0" w:type="dxa"/>
          <w:end w:w="70" w:type="dxa"/>
        </w:tblCellMar>
      </w:tblPr>
      <w:tblGrid>
        <w:gridCol w:w="1690"/>
        <w:gridCol w:w="720"/>
        <w:gridCol w:w="2340"/>
        <w:gridCol w:w="720"/>
        <w:gridCol w:w="1252"/>
        <w:gridCol w:w="728"/>
      </w:tblGrid>
      <w:tr>
        <w:trPr/>
        <w:tc>
          <w:tcPr>
            <w:tcW w:w="1690" w:type="dxa"/>
            <w:tcBorders/>
          </w:tcPr>
          <w:p>
            <w:pPr>
              <w:pStyle w:val="T4dispositie"/>
              <w:jc w:val="start"/>
              <w:rPr>
                <w:lang w:val="nl-NL"/>
              </w:rPr>
            </w:pPr>
            <w:r>
              <w:rPr>
                <w:i/>
                <w:iCs/>
                <w:lang w:val="nl-NL"/>
              </w:rPr>
              <w:t>Manuaal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Fluit harmoniek</w:t>
            </w:r>
          </w:p>
          <w:p>
            <w:pPr>
              <w:pStyle w:val="T4dispositie"/>
              <w:jc w:val="start"/>
              <w:rPr>
                <w:lang w:val="nl-NL"/>
              </w:rPr>
            </w:pPr>
            <w:r>
              <w:rPr>
                <w:lang w:val="nl-NL"/>
              </w:rPr>
              <w:t>Salicionaal</w:t>
            </w:r>
          </w:p>
          <w:p>
            <w:pPr>
              <w:pStyle w:val="T4dispositie"/>
              <w:jc w:val="start"/>
              <w:rPr>
                <w:lang w:val="nl-NL"/>
              </w:rPr>
            </w:pPr>
            <w:r>
              <w:rPr>
                <w:lang w:val="nl-NL"/>
              </w:rPr>
              <w:t>Octaaf</w:t>
            </w:r>
          </w:p>
          <w:p>
            <w:pPr>
              <w:pStyle w:val="T4dispositie"/>
              <w:jc w:val="start"/>
              <w:rPr>
                <w:lang w:val="nl-NL"/>
              </w:rPr>
            </w:pPr>
            <w:r>
              <w:rPr>
                <w:lang w:val="nl-NL"/>
              </w:rPr>
              <w:t>Gedekt Fluit</w:t>
            </w:r>
          </w:p>
          <w:p>
            <w:pPr>
              <w:pStyle w:val="T4dispositie"/>
              <w:jc w:val="start"/>
              <w:rPr>
                <w:lang w:val="nl-NL"/>
              </w:rPr>
            </w:pPr>
            <w:r>
              <w:rPr>
                <w:lang w:val="nl-NL"/>
              </w:rPr>
              <w:t>Mixtuur</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2-4 st.</w:t>
            </w:r>
          </w:p>
          <w:p>
            <w:pPr>
              <w:pStyle w:val="T4dispositie"/>
              <w:jc w:val="start"/>
              <w:rPr>
                <w:lang w:val="nl-NL"/>
              </w:rPr>
            </w:pPr>
            <w:r>
              <w:rPr>
                <w:lang w:val="nl-NL"/>
              </w:rPr>
              <w:t>8'</w:t>
            </w:r>
          </w:p>
        </w:tc>
        <w:tc>
          <w:tcPr>
            <w:tcW w:w="2340" w:type="dxa"/>
            <w:tcBorders/>
          </w:tcPr>
          <w:p>
            <w:pPr>
              <w:pStyle w:val="T4dispositie"/>
              <w:jc w:val="start"/>
              <w:rPr>
                <w:lang w:val="nl-NL"/>
              </w:rPr>
            </w:pPr>
            <w:r>
              <w:rPr>
                <w:i/>
                <w:iCs/>
                <w:lang w:val="nl-NL"/>
              </w:rPr>
              <w:t>Manuaal II (in zwelkast)</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Viola</w:t>
            </w:r>
          </w:p>
          <w:p>
            <w:pPr>
              <w:pStyle w:val="T4dispositie"/>
              <w:jc w:val="start"/>
              <w:rPr>
                <w:lang w:val="nl-NL"/>
              </w:rPr>
            </w:pPr>
            <w:r>
              <w:rPr>
                <w:lang w:val="nl-NL"/>
              </w:rPr>
              <w:t>Vox Caelestis</w:t>
            </w:r>
          </w:p>
          <w:p>
            <w:pPr>
              <w:pStyle w:val="T4dispositie"/>
              <w:jc w:val="start"/>
              <w:rPr>
                <w:lang w:val="nl-NL"/>
              </w:rPr>
            </w:pPr>
            <w:r>
              <w:rPr>
                <w:lang w:val="nl-NL"/>
              </w:rPr>
              <w:t>Violine</w:t>
            </w:r>
          </w:p>
          <w:p>
            <w:pPr>
              <w:pStyle w:val="T4dispositie"/>
              <w:jc w:val="start"/>
              <w:rPr>
                <w:lang w:val="nl-NL"/>
              </w:rPr>
            </w:pPr>
            <w:r>
              <w:rPr>
                <w:lang w:val="nl-NL"/>
              </w:rPr>
              <w:t>Fluit harmoniek</w:t>
            </w:r>
          </w:p>
          <w:p>
            <w:pPr>
              <w:pStyle w:val="T4dispositie"/>
              <w:jc w:val="start"/>
              <w:rPr>
                <w:lang w:val="nl-NL"/>
              </w:rPr>
            </w:pPr>
            <w:r>
              <w:rPr>
                <w:lang w:val="nl-NL"/>
              </w:rPr>
              <w:t>Picolo</w:t>
            </w:r>
          </w:p>
          <w:p>
            <w:pPr>
              <w:pStyle w:val="T4dispositie"/>
              <w:jc w:val="start"/>
              <w:rPr>
                <w:lang w:val="nl-NL"/>
              </w:rPr>
            </w:pPr>
            <w:r>
              <w:rPr>
                <w:lang w:val="nl-NL"/>
              </w:rPr>
              <w:t>Sexquialter</w:t>
            </w:r>
          </w:p>
          <w:p>
            <w:pPr>
              <w:pStyle w:val="T4dispositie"/>
              <w:jc w:val="start"/>
              <w:rPr>
                <w:lang w:val="nl-NL"/>
              </w:rPr>
            </w:pPr>
            <w:r>
              <w:rPr>
                <w:lang w:val="nl-NL"/>
              </w:rPr>
              <w:t>Fagot hobo</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8'</w:t>
            </w:r>
          </w:p>
        </w:tc>
        <w:tc>
          <w:tcPr>
            <w:tcW w:w="1252" w:type="dxa"/>
            <w:tcBorders/>
          </w:tcPr>
          <w:p>
            <w:pPr>
              <w:pStyle w:val="T4dispositie"/>
              <w:jc w:val="start"/>
              <w:rPr>
                <w:i/>
                <w:i/>
                <w:iCs/>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Fluit</w:t>
            </w:r>
          </w:p>
        </w:tc>
        <w:tc>
          <w:tcPr>
            <w:tcW w:w="72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p>
            <w:pPr>
              <w:pStyle w:val="T4dispositie"/>
              <w:jc w:val="start"/>
              <w:rPr>
                <w:lang w:val="nl-NL"/>
              </w:rPr>
            </w:pPr>
            <w:r>
              <w:rPr>
                <w:lang w:val="nl-NL"/>
              </w:rPr>
              <w:t>8' tr</w:t>
            </w:r>
          </w:p>
        </w:tc>
      </w:tr>
    </w:tbl>
    <w:p>
      <w:pPr>
        <w:pStyle w:val="T4dispositie"/>
        <w:rPr>
          <w:lang w:val="nl-NL"/>
        </w:rPr>
      </w:pPr>
      <w:r>
        <w:rPr>
          <w:lang w:val="nl-NL"/>
        </w:rPr>
      </w:r>
    </w:p>
    <w:p>
      <w:pPr>
        <w:pStyle w:val="T4dispositie"/>
        <w:rPr>
          <w:lang w:val="nl-NL"/>
        </w:rPr>
      </w:pPr>
      <w:r>
        <w:rPr>
          <w:lang w:val="nl-NL"/>
        </w:rPr>
        <w:t>* in werkelijkheid 1-2 st.</w:t>
      </w:r>
    </w:p>
    <w:p>
      <w:pPr>
        <w:pStyle w:val="T4dispositie"/>
        <w:rPr>
          <w:lang w:val="nl-NL"/>
        </w:rPr>
      </w:pPr>
      <w:r>
        <w:rPr>
          <w:lang w:val="nl-NL"/>
        </w:rPr>
      </w:r>
    </w:p>
    <w:p>
      <w:pPr>
        <w:pStyle w:val="T1"/>
        <w:jc w:val="start"/>
        <w:rPr>
          <w:lang w:val="nl-NL"/>
        </w:rPr>
      </w:pPr>
      <w:r>
        <w:rPr>
          <w:lang w:val="nl-NL"/>
        </w:rPr>
        <w:t>Werktuiglijke registers</w:t>
      </w:r>
    </w:p>
    <w:p>
      <w:pPr>
        <w:pStyle w:val="T1"/>
        <w:jc w:val="start"/>
        <w:rPr>
          <w:i/>
          <w:i/>
          <w:iCs/>
          <w:lang w:val="nl-NL"/>
        </w:rPr>
      </w:pPr>
      <w:r>
        <w:rPr>
          <w:i/>
          <w:iCs/>
          <w:lang w:val="nl-NL"/>
        </w:rPr>
        <w:t>Treden</w:t>
      </w:r>
    </w:p>
    <w:p>
      <w:pPr>
        <w:pStyle w:val="T1"/>
        <w:jc w:val="start"/>
        <w:rPr>
          <w:lang w:val="nl-NL"/>
        </w:rPr>
      </w:pPr>
      <w:r>
        <w:rPr>
          <w:lang w:val="nl-NL"/>
        </w:rPr>
        <w:t>koppelingen I-II, Ped-I, Ped-II, II-sub</w:t>
      </w:r>
    </w:p>
    <w:p>
      <w:pPr>
        <w:pStyle w:val="T1"/>
        <w:jc w:val="start"/>
        <w:rPr>
          <w:lang w:val="nl-NL"/>
        </w:rPr>
      </w:pPr>
      <w:r>
        <w:rPr>
          <w:lang w:val="nl-NL"/>
        </w:rPr>
        <w:t>twee vrij combinaties</w:t>
      </w:r>
    </w:p>
    <w:p>
      <w:pPr>
        <w:pStyle w:val="T1"/>
        <w:jc w:val="start"/>
        <w:rPr>
          <w:lang w:val="nl-NL"/>
        </w:rPr>
      </w:pPr>
      <w:r>
        <w:rPr>
          <w:lang w:val="nl-NL"/>
        </w:rPr>
        <w:t>tremolo Man II</w:t>
      </w:r>
    </w:p>
    <w:p>
      <w:pPr>
        <w:pStyle w:val="T1"/>
        <w:jc w:val="start"/>
        <w:rPr>
          <w:lang w:val="nl-NL"/>
        </w:rPr>
      </w:pPr>
      <w:r>
        <w:rPr>
          <w:lang w:val="nl-NL"/>
        </w:rPr>
        <w:t>Expression Man II</w:t>
      </w:r>
    </w:p>
    <w:p>
      <w:pPr>
        <w:pStyle w:val="T1"/>
        <w:jc w:val="start"/>
        <w:rPr>
          <w:lang w:val="nl-NL"/>
        </w:rPr>
      </w:pPr>
      <w:r>
        <w:rPr>
          <w:lang w:val="nl-NL"/>
        </w:rPr>
        <w:t>crescendo-decrescendo</w:t>
      </w:r>
    </w:p>
    <w:p>
      <w:pPr>
        <w:pStyle w:val="T1"/>
        <w:jc w:val="start"/>
        <w:rPr>
          <w:lang w:val="nl-NL"/>
        </w:rPr>
      </w:pPr>
      <w:r>
        <w:rPr>
          <w:i/>
          <w:iCs/>
          <w:lang w:val="nl-NL"/>
        </w:rPr>
        <w:t>Drukknoppen</w:t>
      </w:r>
    </w:p>
    <w:p>
      <w:pPr>
        <w:pStyle w:val="T1"/>
        <w:jc w:val="start"/>
        <w:rPr>
          <w:lang w:val="nl-NL"/>
        </w:rPr>
      </w:pPr>
      <w:r>
        <w:rPr>
          <w:lang w:val="nl-NL"/>
        </w:rPr>
        <w:t>Vaste combinaties PP-P-MF-F-FF-Tutti</w:t>
      </w:r>
    </w:p>
    <w:p>
      <w:pPr>
        <w:pStyle w:val="T1"/>
        <w:jc w:val="start"/>
        <w:rPr>
          <w:lang w:val="nl-NL"/>
        </w:rPr>
      </w:pPr>
      <w:r>
        <w:rPr>
          <w:lang w:val="nl-NL"/>
        </w:rPr>
        <w:t>twee vrije combinaties</w:t>
      </w:r>
    </w:p>
    <w:p>
      <w:pPr>
        <w:pStyle w:val="T1"/>
        <w:jc w:val="start"/>
        <w:rPr>
          <w:lang w:val="nl-NL"/>
        </w:rPr>
      </w:pPr>
      <w:r>
        <w:rPr>
          <w:lang w:val="nl-NL"/>
        </w:rPr>
        <w:t>oplossers</w:t>
      </w:r>
    </w:p>
    <w:p>
      <w:pPr>
        <w:pStyle w:val="T1"/>
        <w:jc w:val="start"/>
        <w:rPr>
          <w:lang w:val="nl-NL"/>
        </w:rPr>
      </w:pPr>
      <w:r>
        <w:rPr>
          <w:lang w:val="nl-NL"/>
        </w:rPr>
        <w:t>crescendo-decrescendo (met schaalaanwijzer)</w:t>
      </w:r>
    </w:p>
    <w:p>
      <w:pPr>
        <w:pStyle w:val="T1"/>
        <w:jc w:val="start"/>
        <w:rPr>
          <w:lang w:val="nl-NL"/>
        </w:rPr>
      </w:pPr>
      <w:r>
        <w:rPr>
          <w:lang w:val="nl-NL"/>
        </w:rPr>
      </w:r>
    </w:p>
    <w:p>
      <w:pPr>
        <w:pStyle w:val="T1"/>
        <w:jc w:val="start"/>
        <w:rPr/>
      </w:pPr>
      <w:r>
        <w:rPr/>
        <w:t>Samenstelling vulstemmen</w:t>
      </w:r>
    </w:p>
    <w:tbl>
      <w:tblPr>
        <w:tblW w:w="5110" w:type="dxa"/>
        <w:jc w:val="start"/>
        <w:tblInd w:w="-70" w:type="dxa"/>
        <w:tblLayout w:type="fixed"/>
        <w:tblCellMar>
          <w:top w:w="0" w:type="dxa"/>
          <w:start w:w="70" w:type="dxa"/>
          <w:bottom w:w="0" w:type="dxa"/>
          <w:end w:w="70" w:type="dxa"/>
        </w:tblCellMar>
      </w:tblPr>
      <w:tblGrid>
        <w:gridCol w:w="1690"/>
        <w:gridCol w:w="720"/>
        <w:gridCol w:w="540"/>
        <w:gridCol w:w="720"/>
        <w:gridCol w:w="720"/>
        <w:gridCol w:w="720"/>
      </w:tblGrid>
      <w:tr>
        <w:trPr/>
        <w:tc>
          <w:tcPr>
            <w:tcW w:w="1690" w:type="dxa"/>
            <w:tcBorders/>
          </w:tcPr>
          <w:p>
            <w:pPr>
              <w:pStyle w:val="T1"/>
              <w:rPr/>
            </w:pPr>
            <w:r>
              <w:rPr/>
              <w:t>Mixtuur Man I</w:t>
            </w:r>
          </w:p>
        </w:tc>
        <w:tc>
          <w:tcPr>
            <w:tcW w:w="72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54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lang w:val="nl-NL"/>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0" w:type="dxa"/>
            <w:tcBorders/>
          </w:tcPr>
          <w:p>
            <w:pPr>
              <w:pStyle w:val="T4dispositie"/>
              <w:rPr>
                <w:lang w:val="nl-NL"/>
              </w:rPr>
            </w:pPr>
            <w:r>
              <w:rPr>
                <w:lang w:val="nl-NL"/>
              </w:rPr>
              <w:t>C</w:t>
            </w:r>
            <w:r>
              <w:rPr>
                <w:vertAlign w:val="superscript"/>
                <w:lang w:val="nl-NL"/>
              </w:rPr>
              <w:t>3</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tc>
      </w:tr>
    </w:tbl>
    <w:p>
      <w:pPr>
        <w:pStyle w:val="T1"/>
        <w:jc w:val="start"/>
        <w:rPr>
          <w:lang w:val="nl-NL"/>
        </w:rPr>
      </w:pPr>
      <w:r>
        <w:rPr>
          <w:lang w:val="nl-NL"/>
        </w:rPr>
      </w:r>
    </w:p>
    <w:tbl>
      <w:tblPr>
        <w:tblW w:w="3272" w:type="dxa"/>
        <w:jc w:val="start"/>
        <w:tblInd w:w="-70" w:type="dxa"/>
        <w:tblLayout w:type="fixed"/>
        <w:tblCellMar>
          <w:top w:w="0" w:type="dxa"/>
          <w:start w:w="70" w:type="dxa"/>
          <w:bottom w:w="0" w:type="dxa"/>
          <w:end w:w="70" w:type="dxa"/>
        </w:tblCellMar>
      </w:tblPr>
      <w:tblGrid>
        <w:gridCol w:w="2016"/>
        <w:gridCol w:w="628"/>
        <w:gridCol w:w="628"/>
      </w:tblGrid>
      <w:tr>
        <w:trPr/>
        <w:tc>
          <w:tcPr>
            <w:tcW w:w="2016" w:type="dxa"/>
            <w:tcBorders/>
          </w:tcPr>
          <w:p>
            <w:pPr>
              <w:pStyle w:val="T1"/>
              <w:jc w:val="start"/>
              <w:rPr>
                <w:lang w:val="nl-NL"/>
              </w:rPr>
            </w:pPr>
            <w:r>
              <w:rPr>
                <w:lang w:val="nl-NL"/>
              </w:rPr>
              <w:t>Sexquialter Man II</w:t>
            </w:r>
          </w:p>
        </w:tc>
        <w:tc>
          <w:tcPr>
            <w:tcW w:w="628" w:type="dxa"/>
            <w:tcBorders/>
          </w:tcPr>
          <w:p>
            <w:pPr>
              <w:pStyle w:val="T4dispositie"/>
              <w:rPr/>
            </w:pPr>
            <w:r>
              <w:rPr/>
              <w:t>C</w:t>
            </w:r>
          </w:p>
          <w:p>
            <w:pPr>
              <w:pStyle w:val="T4dispositie"/>
              <w:rPr/>
            </w:pPr>
            <w:r>
              <w:rPr/>
              <w:t>2 2/3</w:t>
            </w:r>
          </w:p>
        </w:tc>
        <w:tc>
          <w:tcPr>
            <w:tcW w:w="628" w:type="dxa"/>
            <w:tcBorders/>
          </w:tcPr>
          <w:p>
            <w:pPr>
              <w:pStyle w:val="T4dispositie"/>
              <w:rPr/>
            </w:pPr>
            <w:r>
              <w:rPr/>
              <w:t>f</w:t>
            </w:r>
          </w:p>
          <w:p>
            <w:pPr>
              <w:pStyle w:val="T4dispositie"/>
              <w:rPr/>
            </w:pPr>
            <w:r>
              <w:rPr/>
              <w:t>2 2/3</w:t>
            </w:r>
          </w:p>
          <w:p>
            <w:pPr>
              <w:pStyle w:val="T4dispositie"/>
              <w:rPr/>
            </w:pPr>
            <w:r>
              <w:rPr/>
              <w:t>1 3/5</w:t>
            </w:r>
          </w:p>
        </w:tc>
      </w:tr>
    </w:tbl>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en één regulateur (Man II)</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tussen de twee kassen</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instrument heeft kegelladen met pneumatische speel- en registertractuur. In de rechterkas staat het Man I in de linker het Man II.</w:t>
      </w:r>
    </w:p>
    <w:p>
      <w:pPr>
        <w:pStyle w:val="T1"/>
        <w:jc w:val="start"/>
        <w:rPr>
          <w:lang w:val="nl-NL"/>
        </w:rPr>
      </w:pPr>
      <w:r>
        <w:rPr>
          <w:lang w:val="nl-NL"/>
        </w:rPr>
        <w:t xml:space="preserve">Het linkerfront is loos, in het rechterfront staan C-c van de Prestant 8', het vervolg op de lade. </w:t>
      </w:r>
    </w:p>
    <w:p>
      <w:pPr>
        <w:pStyle w:val="T1"/>
        <w:jc w:val="start"/>
        <w:rPr/>
      </w:pPr>
      <w:r>
        <w:rPr>
          <w:lang w:val="nl-NL"/>
        </w:rPr>
        <w:t>De laden staan opgesteld haaks op de lengterichting van de kerk. De lade van het Man I (rechterkas) is als volgt ingedeeld (vanaf kerkzijde): C-d</w:t>
      </w:r>
      <w:r>
        <w:rPr>
          <w:vertAlign w:val="superscript"/>
          <w:lang w:val="nl-NL"/>
        </w:rPr>
        <w:t>1</w:t>
      </w:r>
      <w:r>
        <w:rPr>
          <w:lang w:val="nl-NL"/>
        </w:rPr>
        <w:t xml:space="preserve"> / dis</w:t>
      </w:r>
      <w:r>
        <w:rPr>
          <w:vertAlign w:val="superscript"/>
          <w:lang w:val="nl-NL"/>
        </w:rPr>
        <w:t>1</w:t>
      </w:r>
      <w:r>
        <w:rPr>
          <w:lang w:val="nl-NL"/>
        </w:rPr>
        <w:t>-g</w:t>
      </w:r>
      <w:r>
        <w:rPr>
          <w:vertAlign w:val="superscript"/>
          <w:lang w:val="nl-NL"/>
        </w:rPr>
        <w:t>3</w:t>
      </w:r>
      <w:r>
        <w:rPr>
          <w:lang w:val="nl-NL"/>
        </w:rPr>
        <w:t>. De lade van het Man II is chromatisch ingedeeld, de kleinste pijpen aan de kerkzijde.</w:t>
      </w:r>
    </w:p>
    <w:p>
      <w:pPr>
        <w:pStyle w:val="T1"/>
        <w:jc w:val="start"/>
        <w:rPr/>
      </w:pPr>
      <w:r>
        <w:rPr>
          <w:lang w:val="nl-NL"/>
        </w:rPr>
        <w:t>C-h van de Bourdon 16' is van hout, het vervolg van metaal. C-H van de Fluit harmoniek 8' is, van hout, gedekt; het vervolg open, van metaal, c</w:t>
      </w:r>
      <w:r>
        <w:rPr>
          <w:vertAlign w:val="superscript"/>
          <w:lang w:val="nl-NL"/>
        </w:rPr>
        <w:t>2</w:t>
      </w:r>
      <w:r>
        <w:rPr>
          <w:lang w:val="nl-NL"/>
        </w:rPr>
        <w:t>-g</w:t>
      </w:r>
      <w:r>
        <w:rPr>
          <w:vertAlign w:val="superscript"/>
          <w:lang w:val="nl-NL"/>
        </w:rPr>
        <w:t>3</w:t>
      </w:r>
      <w:r>
        <w:rPr>
          <w:lang w:val="nl-NL"/>
        </w:rPr>
        <w:t xml:space="preserve"> overblazend. Van de Gedekt Fluit 4' is gis</w:t>
      </w:r>
      <w:r>
        <w:rPr>
          <w:vertAlign w:val="superscript"/>
          <w:lang w:val="nl-NL"/>
        </w:rPr>
        <w:t>2</w:t>
      </w:r>
      <w:r>
        <w:rPr>
          <w:lang w:val="nl-NL"/>
        </w:rPr>
        <w:t>-g</w:t>
      </w:r>
      <w:r>
        <w:rPr>
          <w:vertAlign w:val="superscript"/>
          <w:lang w:val="nl-NL"/>
        </w:rPr>
        <w:t>3</w:t>
      </w:r>
      <w:r>
        <w:rPr>
          <w:lang w:val="nl-NL"/>
        </w:rPr>
        <w:t xml:space="preserve"> open, conisch. De Trompet 8' repeteert vanaf f</w:t>
      </w:r>
      <w:r>
        <w:rPr>
          <w:vertAlign w:val="superscript"/>
          <w:lang w:val="nl-NL"/>
        </w:rPr>
        <w:t>2</w:t>
      </w:r>
      <w:r>
        <w:rPr>
          <w:lang w:val="nl-NL"/>
        </w:rPr>
        <w:t>.</w:t>
      </w:r>
    </w:p>
    <w:p>
      <w:pPr>
        <w:pStyle w:val="T1"/>
        <w:jc w:val="start"/>
        <w:rPr>
          <w:lang w:val="nl-NL"/>
        </w:rPr>
      </w:pPr>
      <w:r>
        <w:rPr>
          <w:lang w:val="nl-NL"/>
        </w:rPr>
        <w:t>De Bourdon 8' van Man II is van C-A van hout, het vervolg van metaal. De Vox Caelestis begint op f. Van de Fagot hobo hebben de hoogste pijpen dubbele bekerlengte.</w:t>
      </w:r>
    </w:p>
    <w:p>
      <w:pPr>
        <w:pStyle w:val="T1"/>
        <w:jc w:val="start"/>
        <w:rPr>
          <w:lang w:val="nl-NL"/>
        </w:rPr>
      </w:pPr>
      <w:r>
        <w:rPr>
          <w:lang w:val="nl-NL"/>
        </w:rPr>
        <w:t>Van het Ped is de Subbas 16' een transmissie van de Bourdon 16' (Man I) en de Fluit 8' van de Fluit Harmoniek 8' (Man I).</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2010-03-21T17:43:00Z</dcterms:created>
  <dc:creator>WS1</dc:creator>
  <dc:description/>
  <dc:language>en-US</dc:language>
  <cp:lastModifiedBy>NIvO</cp:lastModifiedBy>
  <dcterms:modified xsi:type="dcterms:W3CDTF">2010-03-23T20:16:00Z</dcterms:modified>
  <cp:revision>4</cp:revision>
  <dc:subject/>
  <dc:title>Zeeland / 1895</dc:title>
</cp:coreProperties>
</file>