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t>
      </w:r>
      <w:r>
        <w:rPr/>
        <w:t>s-Gravenhage / 1927</w:t>
      </w:r>
    </w:p>
    <w:p>
      <w:pPr>
        <w:pStyle w:val="Heading2"/>
        <w:rPr>
          <w:i w:val="false"/>
          <w:i w:val="false"/>
          <w:iCs/>
        </w:rPr>
      </w:pPr>
      <w:r>
        <w:rPr>
          <w:i w:val="false"/>
          <w:iCs/>
        </w:rPr>
        <w:t>First Church of Christ, Scientist</w:t>
      </w:r>
    </w:p>
    <w:p>
      <w:pPr>
        <w:pStyle w:val="T1"/>
        <w:jc w:val="start"/>
        <w:rPr>
          <w:i/>
          <w:i/>
          <w:iCs/>
          <w:lang w:val="nl-NL"/>
        </w:rPr>
      </w:pPr>
      <w:r>
        <w:rPr>
          <w:i/>
          <w:iCs/>
          <w:lang w:val="nl-NL"/>
        </w:rPr>
      </w:r>
    </w:p>
    <w:p>
      <w:pPr>
        <w:pStyle w:val="T1"/>
        <w:jc w:val="start"/>
        <w:rPr/>
      </w:pPr>
      <w:r>
        <w:rPr>
          <w:i/>
          <w:iCs/>
          <w:lang w:val="nl-NL"/>
        </w:rPr>
        <w:t xml:space="preserve">De First Church of Christ, Scientist werd in 1926 gebouwd naar ontwerp van H.P. Berlage. De kerk is gesitueerd op een terrein met hoogteverschillen, waar de architect op bewuste manier gebruik van heeft gemaakt. Aan één zijde wordt het gebouw afgesloten door water. Het complex bestaat uit drie gebouwen; een kosterwoning, een zondagsschool en de kerk. De met elkaar verbonden gebouwen hebben ieder een geheel eigen vorm. Als inspiratiebronnen voor het ontwerp gebruikte Berlage het leerboek van het genootschap en de bijbel. De First Church of Christ, Scientist ontwierp de architect in de laatste periode van zijn leven en laat afwijkingen zien met zijn vroegere werk. Verder is de invloed van de Amerikaanse architect </w:t>
      </w:r>
      <w:hyperlink r:id="rId2">
        <w:r>
          <w:rPr>
            <w:rStyle w:val="InternetLink"/>
            <w:i/>
            <w:iCs/>
            <w:color w:val="000000"/>
            <w:u w:val="none"/>
            <w:lang w:val="nl-NL"/>
          </w:rPr>
          <w:t>F. Lloyd Wright</w:t>
        </w:r>
      </w:hyperlink>
      <w:r>
        <w:rPr>
          <w:i/>
          <w:iCs/>
          <w:lang w:val="nl-NL"/>
        </w:rPr>
        <w:t xml:space="preserve"> duidelijk waarneembaar.</w:t>
      </w:r>
    </w:p>
    <w:p>
      <w:pPr>
        <w:pStyle w:val="T1"/>
        <w:jc w:val="start"/>
        <w:rPr>
          <w:i/>
          <w:i/>
          <w:iCs/>
          <w:lang w:val="nl-NL"/>
        </w:rPr>
      </w:pPr>
      <w:r>
        <w:rPr>
          <w:i/>
          <w:iCs/>
          <w:lang w:val="nl-NL"/>
        </w:rPr>
      </w:r>
    </w:p>
    <w:p>
      <w:pPr>
        <w:pStyle w:val="T1"/>
        <w:jc w:val="start"/>
        <w:rPr>
          <w:lang w:val="nl-NL"/>
        </w:rPr>
      </w:pPr>
      <w:r>
        <w:rPr>
          <w:lang w:val="nl-NL"/>
        </w:rPr>
        <w:t>Kas: 1927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interieur van de kerk is ontworpen door Piet Zwart. De vormgeving van dit orgel is een van de beste voorbeelden van wat men, analoog aan het woordgebruik in de architectuurgeschiedschrijving, ‘functionalistisch’ zou kunnen noemen: de vorm van dit orgel volgt volledig de functie. Zwart liet namelijk de windladen en een deel van de techniek zichtbaar, en stelde de pijpen van C- en Ciskant eenvoudig symmetrisch op, met de grootste pijpen in het midden. De enige suggesties van neiging tot verfraaien, zijn Zwarts keuzes om het pijpwerk van het tongwerk, dat vooraan staat juist met de grootste pijpen aan de zijkanten te ordenen; om de subbaspijpen aan de zijkanten blauw te schilderen; en om de subbaspijpen tegen de kerkmuur rood te schilderen.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Orgel</w:t>
      </w:r>
      <w:r>
        <w:rPr>
          <w:lang w:val="nl-NL"/>
        </w:rPr>
        <w:t>, ../.. (april 1927), ..</w:t>
      </w:r>
    </w:p>
    <w:p>
      <w:pPr>
        <w:pStyle w:val="T3Lit"/>
        <w:jc w:val="start"/>
        <w:rPr>
          <w:lang w:val="nl-NL"/>
        </w:rPr>
      </w:pPr>
      <w:r>
        <w:rPr>
          <w:lang w:val="nl-NL"/>
        </w:rPr>
      </w:r>
    </w:p>
    <w:p>
      <w:pPr>
        <w:pStyle w:val="T3Lit"/>
        <w:jc w:val="start"/>
        <w:rPr>
          <w:lang w:val="nl-NL"/>
        </w:rPr>
      </w:pPr>
      <w:r>
        <w:rPr>
          <w:lang w:val="nl-NL"/>
        </w:rPr>
        <w:t>Monumentnummer 17453</w:t>
      </w:r>
    </w:p>
    <w:p>
      <w:pPr>
        <w:pStyle w:val="T3Lit"/>
        <w:jc w:val="start"/>
        <w:rPr>
          <w:lang w:val="nl-NL"/>
        </w:rPr>
      </w:pPr>
      <w:r>
        <w:rPr>
          <w:lang w:val="nl-NL"/>
        </w:rPr>
        <w:t>Orgelnummer 529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 van Leeuwen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1927</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klaviatuur vernieuwd</w:t>
      </w:r>
    </w:p>
    <w:p>
      <w:pPr>
        <w:pStyle w:val="T1"/>
        <w:jc w:val="start"/>
        <w:rPr>
          <w:lang w:val="nl-NL"/>
        </w:rPr>
      </w:pPr>
      <w:r>
        <w:rPr>
          <w:lang w:val="nl-NL"/>
        </w:rPr>
        <w:t>.</w:t>
        <w:tab/>
        <w:t>HW samenstelling Mixtuur gewijzigd</w:t>
      </w:r>
    </w:p>
    <w:p>
      <w:pPr>
        <w:pStyle w:val="T1"/>
        <w:jc w:val="start"/>
        <w:rPr>
          <w:lang w:val="nl-NL"/>
        </w:rPr>
      </w:pPr>
      <w:r>
        <w:rPr>
          <w:lang w:val="nl-NL"/>
        </w:rPr>
      </w:r>
    </w:p>
    <w:p>
      <w:pPr>
        <w:pStyle w:val="T1"/>
        <w:jc w:val="start"/>
        <w:rPr>
          <w:lang w:val="nl-NL"/>
        </w:rPr>
      </w:pPr>
      <w:r>
        <w:rPr>
          <w:lang w:val="nl-NL"/>
        </w:rPr>
        <w:t>Flentrop Orgelbouw 1981</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Flentrop Orgelbouw 2005</w:t>
      </w:r>
    </w:p>
    <w:p>
      <w:pPr>
        <w:pStyle w:val="T1"/>
        <w:jc w:val="start"/>
        <w:rPr>
          <w:lang w:val="nl-NL"/>
        </w:rPr>
      </w:pPr>
      <w:r>
        <w:rPr>
          <w:lang w:val="nl-NL"/>
        </w:rPr>
        <w:t>.</w:t>
        <w:tab/>
        <w:t>membranen vernieuwd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7270" w:type="dxa"/>
        <w:jc w:val="start"/>
        <w:tblInd w:w="-70" w:type="dxa"/>
        <w:tblLayout w:type="fixed"/>
        <w:tblCellMar>
          <w:top w:w="0" w:type="dxa"/>
          <w:start w:w="70" w:type="dxa"/>
          <w:bottom w:w="0" w:type="dxa"/>
          <w:end w:w="70" w:type="dxa"/>
        </w:tblCellMar>
      </w:tblPr>
      <w:tblGrid>
        <w:gridCol w:w="1690"/>
        <w:gridCol w:w="720"/>
        <w:gridCol w:w="2160"/>
        <w:gridCol w:w="745"/>
        <w:gridCol w:w="1415"/>
        <w:gridCol w:w="540"/>
      </w:tblGrid>
      <w:tr>
        <w:trPr/>
        <w:tc>
          <w:tcPr>
            <w:tcW w:w="1690" w:type="dxa"/>
            <w:tcBorders/>
          </w:tcPr>
          <w:p>
            <w:pPr>
              <w:pStyle w:val="T4dispositie"/>
              <w:jc w:val="start"/>
              <w:rPr>
                <w:lang w:val="nl-NL"/>
              </w:rPr>
            </w:pPr>
            <w:r>
              <w:rPr>
                <w:i/>
                <w:iCs/>
                <w:lang w:val="nl-NL"/>
              </w:rPr>
              <w:t>Manuaal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Fluit Harm.</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Echo-Trompet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4-6 st.'</w:t>
            </w:r>
          </w:p>
          <w:p>
            <w:pPr>
              <w:pStyle w:val="T4dispositie"/>
              <w:jc w:val="start"/>
              <w:rPr>
                <w:lang w:val="nl-NL"/>
              </w:rPr>
            </w:pPr>
            <w:r>
              <w:rPr>
                <w:lang w:val="nl-NL"/>
              </w:rPr>
              <w:t>5 st.</w:t>
            </w:r>
          </w:p>
          <w:p>
            <w:pPr>
              <w:pStyle w:val="T4dispositie"/>
              <w:jc w:val="start"/>
              <w:rPr>
                <w:lang w:val="nl-NL"/>
              </w:rPr>
            </w:pPr>
            <w:r>
              <w:rPr>
                <w:lang w:val="nl-NL"/>
              </w:rPr>
              <w:t>8'</w:t>
            </w:r>
          </w:p>
        </w:tc>
        <w:tc>
          <w:tcPr>
            <w:tcW w:w="2160" w:type="dxa"/>
            <w:tcBorders/>
          </w:tcPr>
          <w:p>
            <w:pPr>
              <w:pStyle w:val="T4dispositie"/>
              <w:jc w:val="start"/>
              <w:rPr>
                <w:lang w:val="nl-NL"/>
              </w:rPr>
            </w:pPr>
            <w:r>
              <w:rPr>
                <w:i/>
                <w:iCs/>
                <w:lang w:val="nl-NL"/>
              </w:rPr>
              <w:t>Manuaal 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Vioolprestant</w:t>
            </w:r>
          </w:p>
          <w:p>
            <w:pPr>
              <w:pStyle w:val="T4dispositie"/>
              <w:jc w:val="start"/>
              <w:rPr>
                <w:lang w:val="nl-NL"/>
              </w:rPr>
            </w:pPr>
            <w:r>
              <w:rPr>
                <w:lang w:val="nl-NL"/>
              </w:rPr>
              <w:t>Holpijp</w:t>
            </w:r>
          </w:p>
          <w:p>
            <w:pPr>
              <w:pStyle w:val="T4dispositie"/>
              <w:jc w:val="start"/>
              <w:rPr>
                <w:lang w:val="nl-NL"/>
              </w:rPr>
            </w:pPr>
            <w:r>
              <w:rPr>
                <w:lang w:val="nl-NL"/>
              </w:rPr>
              <w:t>Dolce</w:t>
            </w:r>
          </w:p>
          <w:p>
            <w:pPr>
              <w:pStyle w:val="T4dispositie"/>
              <w:jc w:val="start"/>
              <w:rPr>
                <w:lang w:val="nl-NL"/>
              </w:rPr>
            </w:pPr>
            <w:r>
              <w:rPr>
                <w:lang w:val="nl-NL"/>
              </w:rPr>
              <w:t>Viola di Gamba</w:t>
            </w:r>
          </w:p>
          <w:p>
            <w:pPr>
              <w:pStyle w:val="T4dispositie"/>
              <w:jc w:val="start"/>
              <w:rPr>
                <w:lang w:val="nl-NL"/>
              </w:rPr>
            </w:pPr>
            <w:r>
              <w:rPr>
                <w:lang w:val="nl-NL"/>
              </w:rPr>
              <w:t>Voix Céleste</w:t>
            </w:r>
          </w:p>
          <w:p>
            <w:pPr>
              <w:pStyle w:val="T4dispositie"/>
              <w:jc w:val="start"/>
              <w:rPr>
                <w:lang w:val="nl-NL"/>
              </w:rPr>
            </w:pPr>
            <w:r>
              <w:rPr>
                <w:lang w:val="nl-NL"/>
              </w:rPr>
              <w:t>Fluit</w:t>
            </w:r>
          </w:p>
          <w:p>
            <w:pPr>
              <w:pStyle w:val="T4dispositie"/>
              <w:jc w:val="start"/>
              <w:rPr>
                <w:lang w:val="nl-NL"/>
              </w:rPr>
            </w:pPr>
            <w:r>
              <w:rPr>
                <w:lang w:val="nl-NL"/>
              </w:rPr>
              <w:t>Violine</w:t>
            </w:r>
          </w:p>
          <w:p>
            <w:pPr>
              <w:pStyle w:val="T4dispositie"/>
              <w:jc w:val="start"/>
              <w:rPr>
                <w:lang w:val="nl-NL"/>
              </w:rPr>
            </w:pPr>
            <w:r>
              <w:rPr>
                <w:lang w:val="nl-NL"/>
              </w:rPr>
              <w:t>Woudfluit</w:t>
            </w:r>
          </w:p>
          <w:p>
            <w:pPr>
              <w:pStyle w:val="T4dispositie"/>
              <w:jc w:val="start"/>
              <w:rPr>
                <w:lang w:val="nl-NL"/>
              </w:rPr>
            </w:pPr>
            <w:r>
              <w:rPr>
                <w:lang w:val="nl-NL"/>
              </w:rPr>
              <w:t>Basson-Hobo</w:t>
            </w:r>
          </w:p>
        </w:tc>
        <w:tc>
          <w:tcPr>
            <w:tcW w:w="74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415"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Openbas</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sz w:val="20"/>
          <w:lang w:val="nl-NL"/>
        </w:rPr>
      </w:pPr>
      <w:r>
        <w:rPr>
          <w:sz w:val="20"/>
          <w:lang w:val="nl-NL"/>
        </w:rPr>
      </w:r>
    </w:p>
    <w:p>
      <w:pPr>
        <w:pStyle w:val="T1"/>
        <w:jc w:val="start"/>
        <w:rPr>
          <w:lang w:val="nl-NL"/>
        </w:rPr>
      </w:pPr>
      <w:r>
        <w:rPr>
          <w:lang w:val="nl-NL"/>
        </w:rPr>
        <w:t>Werktuiglijke registers</w:t>
      </w:r>
    </w:p>
    <w:p>
      <w:pPr>
        <w:pStyle w:val="Normal"/>
        <w:suppressAutoHyphens w:val="true"/>
        <w:rPr>
          <w:rFonts w:ascii="Times New Roman" w:hAnsi="Times New Roman" w:cs="Times New Roman"/>
          <w:spacing w:val="-3"/>
        </w:rPr>
      </w:pPr>
      <w:r>
        <w:rPr>
          <w:rFonts w:cs="Times New Roman" w:ascii="Times New Roman" w:hAnsi="Times New Roman"/>
          <w:spacing w:val="-3"/>
        </w:rPr>
        <w:t xml:space="preserve">manuaalkoppel II-I, pedaalkoppel-I, pedaalkoppel-II, Superoctaafkoppel I, Suboctaafkoppel II-I </w:t>
      </w:r>
    </w:p>
    <w:p>
      <w:pPr>
        <w:pStyle w:val="Normal"/>
        <w:suppressAutoHyphens w:val="true"/>
        <w:rPr>
          <w:rFonts w:ascii="Times New Roman" w:hAnsi="Times New Roman" w:cs="Times New Roman"/>
          <w:spacing w:val="-3"/>
        </w:rPr>
      </w:pPr>
      <w:r>
        <w:rPr>
          <w:rFonts w:cs="Times New Roman" w:ascii="Times New Roman" w:hAnsi="Times New Roman"/>
          <w:spacing w:val="-3"/>
        </w:rPr>
        <w:t>tremulant II</w:t>
      </w:r>
    </w:p>
    <w:p>
      <w:pPr>
        <w:pStyle w:val="Normal"/>
        <w:suppressAutoHyphens w:val="true"/>
        <w:rPr>
          <w:rFonts w:ascii="Times New Roman" w:hAnsi="Times New Roman" w:cs="Times New Roman"/>
          <w:spacing w:val="-3"/>
        </w:rPr>
      </w:pPr>
      <w:r>
        <w:rPr>
          <w:rFonts w:cs="Times New Roman" w:ascii="Times New Roman" w:hAnsi="Times New Roman"/>
          <w:spacing w:val="-3"/>
        </w:rPr>
        <w:t>vaste combinaties PP- P - MF - F - FF- Tutti - Oplosser</w:t>
      </w:r>
    </w:p>
    <w:p>
      <w:pPr>
        <w:pStyle w:val="Normal"/>
        <w:suppressAutoHyphens w:val="true"/>
        <w:rPr>
          <w:rFonts w:ascii="Times New Roman" w:hAnsi="Times New Roman" w:cs="Times New Roman"/>
          <w:spacing w:val="-3"/>
        </w:rPr>
      </w:pPr>
      <w:r>
        <w:rPr>
          <w:rFonts w:cs="Times New Roman" w:ascii="Times New Roman" w:hAnsi="Times New Roman"/>
          <w:spacing w:val="-3"/>
        </w:rPr>
        <w:t>Inschakeling Automatisch Pedaal - Oplosser</w:t>
      </w:r>
    </w:p>
    <w:p>
      <w:pPr>
        <w:pStyle w:val="Normal"/>
        <w:suppressAutoHyphens w:val="true"/>
        <w:rPr>
          <w:rFonts w:ascii="Times New Roman" w:hAnsi="Times New Roman" w:cs="Times New Roman"/>
          <w:spacing w:val="-3"/>
        </w:rPr>
      </w:pPr>
      <w:r>
        <w:rPr>
          <w:rFonts w:cs="Times New Roman" w:ascii="Times New Roman" w:hAnsi="Times New Roman"/>
          <w:spacing w:val="-3"/>
        </w:rPr>
        <w:t>Generaal Crescendo - Oplosser</w:t>
      </w:r>
    </w:p>
    <w:p>
      <w:pPr>
        <w:pStyle w:val="Normal"/>
        <w:suppressAutoHyphens w:val="true"/>
        <w:rPr>
          <w:rFonts w:ascii="Times New Roman" w:hAnsi="Times New Roman" w:cs="Times New Roman"/>
          <w:spacing w:val="-3"/>
        </w:rPr>
      </w:pPr>
      <w:r>
        <w:rPr>
          <w:rFonts w:cs="Times New Roman" w:ascii="Times New Roman" w:hAnsi="Times New Roman"/>
          <w:spacing w:val="-3"/>
        </w:rPr>
        <w:t>vrije combinatie - Oplosser</w:t>
      </w:r>
    </w:p>
    <w:p>
      <w:pPr>
        <w:pStyle w:val="Normal"/>
        <w:suppressAutoHyphens w:val="true"/>
        <w:rPr>
          <w:rFonts w:ascii="Times New Roman" w:hAnsi="Times New Roman" w:cs="Times New Roman"/>
          <w:spacing w:val="-3"/>
        </w:rPr>
      </w:pPr>
      <w:r>
        <w:rPr>
          <w:rFonts w:cs="Times New Roman" w:ascii="Times New Roman" w:hAnsi="Times New Roman"/>
          <w:spacing w:val="-3"/>
        </w:rPr>
        <w:t>balanstrede zwelkast</w:t>
      </w:r>
    </w:p>
    <w:p>
      <w:pPr>
        <w:pStyle w:val="Normal"/>
        <w:suppressAutoHyphens w:val="true"/>
        <w:rPr>
          <w:rFonts w:ascii="Times New Roman" w:hAnsi="Times New Roman" w:cs="Times New Roman"/>
          <w:spacing w:val="-3"/>
        </w:rPr>
      </w:pPr>
      <w:r>
        <w:rPr>
          <w:rFonts w:cs="Times New Roman" w:ascii="Times New Roman" w:hAnsi="Times New Roman"/>
          <w:spacing w:val="-3"/>
        </w:rPr>
        <w:t>trede generaal crescendo</w:t>
      </w:r>
    </w:p>
    <w:p>
      <w:pPr>
        <w:pStyle w:val="T1"/>
        <w:rPr>
          <w:rFonts w:ascii="Times New Roman" w:hAnsi="Times New Roman" w:cs="Times New Roman"/>
          <w:spacing w:val="-3"/>
          <w:szCs w:val="24"/>
          <w:lang w:val="nl-NL"/>
        </w:rPr>
      </w:pPr>
      <w:r>
        <w:rPr>
          <w:rFonts w:cs="Times New Roman"/>
          <w:spacing w:val="-3"/>
          <w:szCs w:val="24"/>
          <w:lang w:val="nl-NL"/>
        </w:rPr>
      </w:r>
    </w:p>
    <w:p>
      <w:pPr>
        <w:pStyle w:val="T1"/>
        <w:jc w:val="start"/>
        <w:rPr>
          <w:lang w:val="nl-NL"/>
        </w:rPr>
      </w:pPr>
      <w:r>
        <w:rPr>
          <w:lang w:val="nl-NL"/>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Cornet HW   </w:t>
      </w:r>
      <w:r>
        <w:rPr>
          <w:sz w:val="20"/>
          <w:lang w:val="nl-NL"/>
        </w:rPr>
        <w:t>gis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regulateurs</w:t>
      </w:r>
    </w:p>
    <w:p>
      <w:pPr>
        <w:pStyle w:val="T1"/>
        <w:jc w:val="start"/>
        <w:rPr>
          <w:lang w:val="nl-NL"/>
        </w:rPr>
      </w:pPr>
      <w:r>
        <w:rPr>
          <w:lang w:val="nl-NL"/>
        </w:rPr>
        <w:t>Winddruk</w:t>
      </w:r>
    </w:p>
    <w:p>
      <w:pPr>
        <w:pStyle w:val="T1"/>
        <w:jc w:val="start"/>
        <w:rPr>
          <w:lang w:val="nl-NL"/>
        </w:rPr>
      </w:pPr>
      <w:r>
        <w:rPr>
          <w:lang w:val="nl-NL"/>
        </w:rPr>
        <w:t>Ped 96 mm, HW 94 mm, ZwW 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magazijnbalg en de regulateur voor Man I hebben een in- en uitspringende vouw; de regulateur van Man II heeft een inspringende vouw.</w:t>
      </w:r>
    </w:p>
    <w:p>
      <w:pPr>
        <w:pStyle w:val="T1"/>
        <w:jc w:val="start"/>
        <w:rPr>
          <w:lang w:val="nl-NL"/>
        </w:rPr>
      </w:pPr>
      <w:r>
        <w:rPr>
          <w:lang w:val="nl-NL"/>
        </w:rPr>
        <w:t>Indien niet anders vermeld zijn de pijpen open en van orgelmetaal, cilindrisch en voorzien van geperste labia.</w:t>
      </w:r>
    </w:p>
    <w:p>
      <w:pPr>
        <w:pStyle w:val="T1"/>
        <w:jc w:val="start"/>
        <w:rPr/>
      </w:pPr>
      <w:r>
        <w:rPr>
          <w:lang w:val="nl-NL"/>
        </w:rPr>
        <w:t>Vooraan op de lade van Man I staat de Echo Trompet, metaal, Duitse koppen (enkel met kraag) en kelen. Bekers cis</w:t>
      </w:r>
      <w:r>
        <w:rPr>
          <w:vertAlign w:val="superscript"/>
          <w:lang w:val="nl-NL"/>
        </w:rPr>
        <w:t>3</w:t>
      </w:r>
      <w:r>
        <w:rPr>
          <w:lang w:val="nl-NL"/>
        </w:rPr>
        <w:t>-g</w:t>
      </w:r>
      <w:r>
        <w:rPr>
          <w:vertAlign w:val="superscript"/>
          <w:lang w:val="nl-NL"/>
        </w:rPr>
        <w:t>3</w:t>
      </w:r>
      <w:r>
        <w:rPr>
          <w:lang w:val="nl-NL"/>
        </w:rPr>
        <w:t xml:space="preserve"> dubbele lengte. Achter het tongwerk bevindt zich een stemgang. Aan de andere kant daarvan staat de Mixtuur (van later datum) met gewreven labia. Het register is deels voorzien van expressions, de kleinste pijpen (kleiner dan 1/4 voet) zijn op lengte afgesneden. C-F van de Octaaf 4' hebben opgesoldeerde labia. C-f</w:t>
      </w:r>
      <w:r>
        <w:rPr>
          <w:vertAlign w:val="superscript"/>
          <w:lang w:val="nl-NL"/>
        </w:rPr>
        <w:t>2</w:t>
      </w:r>
      <w:r>
        <w:rPr>
          <w:lang w:val="nl-NL"/>
        </w:rPr>
        <w:t xml:space="preserve"> met expressions, fis</w:t>
      </w:r>
      <w:r>
        <w:rPr>
          <w:vertAlign w:val="superscript"/>
          <w:lang w:val="nl-NL"/>
        </w:rPr>
        <w:t>2</w:t>
      </w:r>
      <w:r>
        <w:rPr>
          <w:lang w:val="nl-NL"/>
        </w:rPr>
        <w:t>-h</w:t>
      </w:r>
      <w:r>
        <w:rPr>
          <w:vertAlign w:val="superscript"/>
          <w:lang w:val="nl-NL"/>
        </w:rPr>
        <w:t>2</w:t>
      </w:r>
      <w:r>
        <w:rPr>
          <w:lang w:val="nl-NL"/>
        </w:rPr>
        <w:t xml:space="preserve"> stemkrul de overige op lengte. C-H van de Bourdon 8' zijn van grenen (blauw geverfd), het vervolg is van metaal; de discant zonder bovenlabia. Van de Bourdon 16' zijn C-h van grenen (C-cis bruinrood geverfd, cis-h donkerblauw); de discant is van metaal; c</w:t>
      </w:r>
      <w:r>
        <w:rPr>
          <w:vertAlign w:val="superscript"/>
          <w:lang w:val="nl-NL"/>
        </w:rPr>
        <w:t>2</w:t>
      </w:r>
      <w:r>
        <w:rPr>
          <w:lang w:val="nl-NL"/>
        </w:rPr>
        <w:t>-g</w:t>
      </w:r>
      <w:r>
        <w:rPr>
          <w:vertAlign w:val="superscript"/>
          <w:lang w:val="nl-NL"/>
        </w:rPr>
        <w:t>3</w:t>
      </w:r>
      <w:r>
        <w:rPr>
          <w:lang w:val="nl-NL"/>
        </w:rPr>
        <w:t xml:space="preserve"> zonder bovenlabia. De Salicionaal is geheel van metaal met en expressions. C-H van de Fluit harm. zijn van grenen (blauw geverfd en afgevoerd tegen de pijlers links en rechts van het instrument), het vervolg staat op de lade; C-h</w:t>
      </w:r>
      <w:r>
        <w:rPr>
          <w:vertAlign w:val="superscript"/>
          <w:lang w:val="nl-NL"/>
        </w:rPr>
        <w:t>1</w:t>
      </w:r>
      <w:r>
        <w:rPr>
          <w:lang w:val="nl-NL"/>
        </w:rPr>
        <w:t xml:space="preserve"> natuurlijke lengte, de overige overblazend; vanaf f</w:t>
      </w:r>
      <w:r>
        <w:rPr>
          <w:vertAlign w:val="superscript"/>
          <w:lang w:val="nl-NL"/>
        </w:rPr>
        <w:t>1</w:t>
      </w:r>
      <w:r>
        <w:rPr>
          <w:lang w:val="nl-NL"/>
        </w:rPr>
        <w:t xml:space="preserve"> zonder bovenlabia. C-H van de Prestant 8' zijn afgevoerd op de lade en hebben opgesoldeerde labia; de discant staat op de lade. Alle pijpen met expressions; C-h</w:t>
      </w:r>
      <w:r>
        <w:rPr>
          <w:vertAlign w:val="superscript"/>
          <w:lang w:val="nl-NL"/>
        </w:rPr>
        <w:t>1</w:t>
      </w:r>
      <w:r>
        <w:rPr>
          <w:lang w:val="nl-NL"/>
        </w:rPr>
        <w:t xml:space="preserve"> met zijbaarden. Het pijpwerk van de Cornet staat onder de lade van Man I. Het laagste koor is gedekt het overige pijpwerk is deels voorzien van expressions; deels met stemkrullen en deels op lengte afgesneden. Alle pijpen met geritste labia.</w:t>
      </w:r>
    </w:p>
    <w:p>
      <w:pPr>
        <w:pStyle w:val="T1"/>
        <w:jc w:val="start"/>
        <w:rPr/>
      </w:pPr>
      <w:r>
        <w:rPr>
          <w:lang w:val="nl-NL"/>
        </w:rPr>
        <w:t>De lade van Man II ligt iets hoger achter die van Man I. Op de eerste plaats staat de Basson Hobo met zinken stevels, en Duitse koppen, kelen en tongen. C-h trechtervormige zinken bekers met intonatieslits; bekers discant met nauwelijks divergerend lang ondergedeelte en meer divergerend kort bovenstuk met drie gaten waarin een convergerend deksel met eveneens drie gaten. De Woudfluit is conisch. C-H zijbaarden, C-h</w:t>
      </w:r>
      <w:r>
        <w:rPr>
          <w:vertAlign w:val="superscript"/>
          <w:lang w:val="nl-NL"/>
        </w:rPr>
        <w:t>1</w:t>
      </w:r>
      <w:r>
        <w:rPr>
          <w:lang w:val="nl-NL"/>
        </w:rPr>
        <w:t xml:space="preserve"> met expressions, vervolg op lengte. Het hoogste octaaf van de Fluit is open, conisch. C-H met geperste labia, de overige zonder bovenlabium. C-H van de Violine zijn van zink (met freins) het vervolg is van metaal met zijbaarden en geperste labia. C-f</w:t>
      </w:r>
      <w:r>
        <w:rPr>
          <w:vertAlign w:val="superscript"/>
          <w:lang w:val="nl-NL"/>
        </w:rPr>
        <w:t>2</w:t>
      </w:r>
      <w:r>
        <w:rPr>
          <w:lang w:val="nl-NL"/>
        </w:rPr>
        <w:t xml:space="preserve"> met expressions, fis</w:t>
      </w:r>
      <w:r>
        <w:rPr>
          <w:vertAlign w:val="superscript"/>
          <w:lang w:val="nl-NL"/>
        </w:rPr>
        <w:t>2</w:t>
      </w:r>
      <w:r>
        <w:rPr>
          <w:lang w:val="nl-NL"/>
        </w:rPr>
        <w:t>-h</w:t>
      </w:r>
      <w:r>
        <w:rPr>
          <w:vertAlign w:val="superscript"/>
          <w:lang w:val="nl-NL"/>
        </w:rPr>
        <w:t>2</w:t>
      </w:r>
      <w:r>
        <w:rPr>
          <w:lang w:val="nl-NL"/>
        </w:rPr>
        <w:t xml:space="preserve"> met stemkrul, overige op lengte. Van de Viola di Gamba zijn C-h van zink (met freins) de discant is van metaal (met zijbaarden). Alle pijpen met expressions. De Voix Céleste begint op c en is gemaakt in dezelfde factuur als de Viola. di Gamba. C-H van de Holpijp zijn van grenen, het vervolg is van metaal; in de discant zonder bovenlabium. C-h van de Dolce zijn van zink (met freins), de discant is van metaal (met zijbaarden). Alle pijpen met expressions. Bij de Viool Prestant zijn C-h van zink en de overige pijpen van metaal. Alle pijpen met expressions, C-h</w:t>
      </w:r>
      <w:r>
        <w:rPr>
          <w:vertAlign w:val="superscript"/>
          <w:lang w:val="nl-NL"/>
        </w:rPr>
        <w:t>1</w:t>
      </w:r>
      <w:r>
        <w:rPr>
          <w:lang w:val="nl-NL"/>
        </w:rPr>
        <w:t xml:space="preserve"> met zijbaarden.</w:t>
      </w:r>
    </w:p>
    <w:p>
      <w:pPr>
        <w:pStyle w:val="T1"/>
        <w:jc w:val="start"/>
        <w:rPr>
          <w:lang w:val="nl-NL"/>
        </w:rPr>
      </w:pPr>
      <w:r>
        <w:rPr>
          <w:lang w:val="nl-NL"/>
        </w:rPr>
        <w:t>De Subbas is van grenen; C-H met houten rolbaarden. Het register staat links van Man I opgesteld, haaks het front. De Octaafbas is van metaal en staat rechts van Man I opgesteld, eveneens haaks op het front. C-f met opgesoldeerde labia; C-H met rolbaarden.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outlineLvl w:val="2"/>
    </w:pPr>
    <w:rPr>
      <w:rFonts w:ascii="Times New Roman" w:hAnsi="Times New Roman" w:cs="Times New Roman"/>
      <w:b/>
      <w:bCs/>
      <w:iCs/>
      <w:lang w:val="en-US"/>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Standaardalinealettertype">
    <w:name w:val="Standaardalinea-lettertype"/>
    <w:qFormat/>
    <w:rPr/>
  </w:style>
  <w:style w:type="character" w:styleId="InternetLink">
    <w:name w:val="Hyperlink"/>
    <w:basedOn w:val="Standaardalinealettertype"/>
    <w:rPr>
      <w:color w:val="0000FF"/>
      <w:u w:val="single"/>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chitectenweb.nl/aweb/archipedia/archipedia.asp?ID=889"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ages>3</Pages>
  <Words>875</Words>
  <Characters>4485</Characters>
  <CharactersWithSpaces>5249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2010-03-23T16:34:00Z</dcterms:created>
  <dc:creator>WS1</dc:creator>
  <dc:description/>
  <dc:language>en-US</dc:language>
  <cp:lastModifiedBy>NIvO</cp:lastModifiedBy>
  <dcterms:modified xsi:type="dcterms:W3CDTF">2010-03-23T20:23:00Z</dcterms:modified>
  <cp:revision>4</cp:revision>
  <dc:subject/>
  <dc:title>Zeeland / 1895</dc:title>
</cp:coreProperties>
</file>