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Andijk / 1930</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Groots opgezet gebouw in expressionistische stijl naar een ontwerp van de architect Egbert Reitsma. Deze kerk uit 1929 met een toren van 45 meter wordt door zijn omvang ook wel de ‘Gereformeerde Kathedraal’ genoemd. Inwendig zogenaamde centraalbouw overdekt met een complex paraboolvormig gewelf. Gebrandschilderde ramen met voorstellingen van onder andere handel, techniek, landbouw en scheepvaart. De voormalige kerk, een zwartgeteerde schuur met ‘kerkramen’, staat nog steeds naast de ‘nieuwe’ kerk.</w:t>
      </w:r>
    </w:p>
    <w:p>
      <w:pPr>
        <w:pStyle w:val="T1"/>
        <w:jc w:val="start"/>
        <w:rPr>
          <w:i/>
          <w:i/>
          <w:iCs/>
          <w:lang w:val="nl-NL"/>
        </w:rPr>
      </w:pPr>
      <w:r>
        <w:rPr>
          <w:i/>
          <w:iCs/>
          <w:lang w:val="nl-NL"/>
        </w:rPr>
      </w:r>
    </w:p>
    <w:p>
      <w:pPr>
        <w:pStyle w:val="T1"/>
        <w:jc w:val="start"/>
        <w:rPr>
          <w:lang w:val="nl-NL"/>
        </w:rPr>
      </w:pPr>
      <w:r>
        <w:rPr>
          <w:lang w:val="nl-NL"/>
        </w:rPr>
        <w:t>Kas: 1930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is ontworpen door de architect van de kerk Egbert Reitsma. Het bestaat uit vier achter elkaar aangebrachte pijprijen, die de paraboolvormige nis, waarin het orgel staat opgesteld, afschermen. De eerste rij stomme pijpen staat in de balustrade waarachter oorspronkelijk de speeltafel stond. Daarboven, op een lijst en ondersteund door twee zuilen, de drie andere piramidaal gevormde rijen, in grootte toenemend. De tweede en derde rij zijn zinken pijpen, grotendeels de Prestant 8' van Man I. De laatste rij bestaat uit houten, op pijpen lijkende kolommen, die op speelse wijze de nis verder naar boven opvullen.</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i/>
          <w:iCs/>
          <w:lang w:val="nl-NL"/>
        </w:rPr>
        <w:t>Organist &amp; Eredienst</w:t>
      </w:r>
      <w:r>
        <w:rPr>
          <w:lang w:val="nl-NL"/>
        </w:rPr>
        <w:t>, 14/152 (1948).</w:t>
      </w:r>
    </w:p>
    <w:p>
      <w:pPr>
        <w:pStyle w:val="T3Lit"/>
        <w:jc w:val="start"/>
        <w:rPr/>
      </w:pPr>
      <w:r>
        <w:rPr>
          <w:lang w:val="nl-NL"/>
        </w:rPr>
        <w:t xml:space="preserve">R. Walsma, </w:t>
      </w:r>
      <w:r>
        <w:rPr>
          <w:i/>
          <w:iCs/>
          <w:lang w:val="nl-NL"/>
        </w:rPr>
        <w:t>Herziene en uitgebreide werklijst Properorgels</w:t>
      </w:r>
      <w:r>
        <w:rPr>
          <w:lang w:val="nl-NL"/>
        </w:rPr>
        <w:t>. Leeuwarden, 2005, 3.</w:t>
      </w:r>
    </w:p>
    <w:p>
      <w:pPr>
        <w:pStyle w:val="T3Lit"/>
        <w:jc w:val="start"/>
        <w:rPr/>
      </w:pPr>
      <w:r>
        <w:rPr>
          <w:lang w:val="nl-NL"/>
        </w:rPr>
        <w:t xml:space="preserve">R. Walsma, </w:t>
      </w:r>
      <w:r>
        <w:rPr>
          <w:i/>
          <w:iCs/>
          <w:lang w:val="nl-NL"/>
        </w:rPr>
        <w:t>Jan Proper (1853-1922), orgelmaker op het grensvlak van ambachtelijk en industrieel</w:t>
      </w:r>
      <w:r>
        <w:rPr>
          <w:lang w:val="nl-NL"/>
        </w:rPr>
        <w:t>. Leeuwarden, 2005.</w:t>
      </w:r>
    </w:p>
    <w:p>
      <w:pPr>
        <w:pStyle w:val="T3Lit"/>
        <w:jc w:val="start"/>
        <w:rPr>
          <w:lang w:val="nl-NL"/>
        </w:rPr>
      </w:pPr>
      <w:r>
        <w:rPr>
          <w:lang w:val="nl-NL"/>
        </w:rPr>
      </w:r>
    </w:p>
    <w:p>
      <w:pPr>
        <w:pStyle w:val="T3Lit"/>
        <w:jc w:val="start"/>
        <w:rPr>
          <w:lang w:val="nl-NL"/>
        </w:rPr>
      </w:pPr>
      <w:r>
        <w:rPr>
          <w:lang w:val="nl-NL"/>
        </w:rPr>
        <w:t>Monumentnummer 508026</w:t>
      </w:r>
    </w:p>
    <w:p>
      <w:pPr>
        <w:pStyle w:val="T3Lit"/>
        <w:jc w:val="start"/>
        <w:rPr>
          <w:lang w:val="nl-NL"/>
        </w:rPr>
      </w:pPr>
      <w:r>
        <w:rPr>
          <w:lang w:val="nl-NL"/>
        </w:rPr>
        <w:t>Orgelnummer 2028</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fa M. Spiering</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1930</w:t>
      </w:r>
    </w:p>
    <w:p>
      <w:pPr>
        <w:pStyle w:val="T1"/>
        <w:jc w:val="start"/>
        <w:rPr>
          <w:lang w:val="nl-NL"/>
        </w:rPr>
      </w:pPr>
      <w:r>
        <w:rPr>
          <w:lang w:val="nl-NL"/>
        </w:rPr>
      </w:r>
    </w:p>
    <w:p>
      <w:pPr>
        <w:pStyle w:val="T1"/>
        <w:jc w:val="start"/>
        <w:rPr>
          <w:lang w:val="fr-FR"/>
        </w:rPr>
      </w:pPr>
      <w:r>
        <w:rPr>
          <w:lang w:val="fr-FR"/>
        </w:rPr>
        <w:t>H.W. Flentrop 1948</w:t>
      </w:r>
    </w:p>
    <w:p>
      <w:pPr>
        <w:pStyle w:val="T1"/>
        <w:numPr>
          <w:ilvl w:val="0"/>
          <w:numId w:val="5"/>
        </w:numPr>
        <w:jc w:val="start"/>
        <w:rPr>
          <w:lang w:val="nl-NL"/>
        </w:rPr>
      </w:pPr>
      <w:r>
        <w:rPr>
          <w:lang w:val="nl-NL"/>
        </w:rPr>
        <w:t>restauratie</w:t>
      </w:r>
    </w:p>
    <w:p>
      <w:pPr>
        <w:pStyle w:val="T1"/>
        <w:numPr>
          <w:ilvl w:val="0"/>
          <w:numId w:val="5"/>
        </w:numPr>
        <w:jc w:val="start"/>
        <w:rPr>
          <w:lang w:val="nl-NL"/>
        </w:rPr>
      </w:pPr>
      <w:r>
        <w:rPr>
          <w:lang w:val="nl-NL"/>
        </w:rPr>
        <w:t>speeltafel verplaatst naar de rechter galerij; speel- en registertractuur elektrisch gemaakt</w:t>
      </w:r>
    </w:p>
    <w:p>
      <w:pPr>
        <w:pStyle w:val="T1"/>
        <w:numPr>
          <w:ilvl w:val="0"/>
          <w:numId w:val="5"/>
        </w:numPr>
        <w:jc w:val="start"/>
        <w:rPr>
          <w:lang w:val="nl-NL"/>
        </w:rPr>
      </w:pPr>
      <w:r>
        <w:rPr>
          <w:lang w:val="nl-NL"/>
        </w:rPr>
        <w:t>wijziging opstelling binnenwerk</w:t>
      </w:r>
    </w:p>
    <w:p>
      <w:pPr>
        <w:pStyle w:val="T1"/>
        <w:numPr>
          <w:ilvl w:val="0"/>
          <w:numId w:val="5"/>
        </w:numPr>
        <w:jc w:val="start"/>
        <w:rPr>
          <w:lang w:val="nl-NL"/>
        </w:rPr>
      </w:pPr>
      <w:r>
        <w:rPr>
          <w:lang w:val="nl-NL"/>
        </w:rPr>
        <w:t>dispositiewijzigingen:</w:t>
      </w:r>
    </w:p>
    <w:p>
      <w:pPr>
        <w:pStyle w:val="T1"/>
        <w:ind w:start="708" w:hanging="0"/>
        <w:jc w:val="start"/>
        <w:rPr/>
      </w:pPr>
      <w:r>
        <w:rPr/>
        <w:t>Man I + Quint 2 2/3', + Cornet 5 st.</w:t>
      </w:r>
    </w:p>
    <w:p>
      <w:pPr>
        <w:pStyle w:val="T1"/>
        <w:ind w:start="708" w:hanging="0"/>
        <w:jc w:val="start"/>
        <w:rPr/>
      </w:pPr>
      <w:r>
        <w:rPr/>
        <w:t>Man II - Salicet 4', + Speelfluit 4', + Sesquialter 2 st.</w:t>
      </w:r>
    </w:p>
    <w:p>
      <w:pPr>
        <w:pStyle w:val="T1"/>
        <w:ind w:start="708" w:hanging="0"/>
        <w:jc w:val="start"/>
        <w:rPr>
          <w:lang w:val="nl-NL"/>
        </w:rPr>
      </w:pPr>
      <w:r>
        <w:rPr>
          <w:lang w:val="nl-NL"/>
        </w:rPr>
        <w:t>Ped + Gedekt 8', + Octaaf 4'</w:t>
      </w:r>
    </w:p>
    <w:p>
      <w:pPr>
        <w:pStyle w:val="T1"/>
        <w:jc w:val="start"/>
        <w:rPr>
          <w:lang w:val="nl-NL"/>
        </w:rPr>
      </w:pPr>
      <w:r>
        <w:rPr>
          <w:lang w:val="nl-NL"/>
        </w:rPr>
      </w:r>
    </w:p>
    <w:p>
      <w:pPr>
        <w:pStyle w:val="T1"/>
        <w:jc w:val="start"/>
        <w:rPr>
          <w:lang w:val="nl-NL"/>
        </w:rPr>
      </w:pPr>
      <w:r>
        <w:rPr>
          <w:lang w:val="nl-NL"/>
        </w:rPr>
        <w:t>Flentrop Orgelbouw 1970</w:t>
      </w:r>
    </w:p>
    <w:p>
      <w:pPr>
        <w:pStyle w:val="T1"/>
        <w:numPr>
          <w:ilvl w:val="0"/>
          <w:numId w:val="4"/>
        </w:numPr>
        <w:jc w:val="start"/>
        <w:rPr>
          <w:lang w:val="nl-NL"/>
        </w:rPr>
      </w:pPr>
      <w:r>
        <w:rPr>
          <w:lang w:val="nl-NL"/>
        </w:rPr>
        <w:t>speeltafel en elektrische speel- en registertractuur hersteld</w:t>
      </w:r>
    </w:p>
    <w:p>
      <w:pPr>
        <w:pStyle w:val="T1"/>
        <w:numPr>
          <w:ilvl w:val="0"/>
          <w:numId w:val="4"/>
        </w:numPr>
        <w:jc w:val="start"/>
        <w:rPr>
          <w:lang w:val="nl-NL"/>
        </w:rPr>
      </w:pPr>
      <w:r>
        <w:rPr>
          <w:lang w:val="nl-NL"/>
        </w:rPr>
        <w:t>speelhulpen verwijderd</w:t>
      </w:r>
    </w:p>
    <w:p>
      <w:pPr>
        <w:pStyle w:val="T1"/>
        <w:jc w:val="start"/>
        <w:rPr>
          <w:lang w:val="nl-NL"/>
        </w:rPr>
      </w:pPr>
      <w:r>
        <w:rPr>
          <w:lang w:val="nl-NL"/>
        </w:rPr>
      </w:r>
    </w:p>
    <w:p>
      <w:pPr>
        <w:pStyle w:val="T1"/>
        <w:jc w:val="start"/>
        <w:rPr>
          <w:lang w:val="nl-NL"/>
        </w:rPr>
      </w:pPr>
      <w:r>
        <w:rPr>
          <w:lang w:val="nl-NL"/>
        </w:rPr>
        <w:t>Flentrop Orgelbouw 1981</w:t>
      </w:r>
    </w:p>
    <w:p>
      <w:pPr>
        <w:pStyle w:val="T1"/>
        <w:numPr>
          <w:ilvl w:val="0"/>
          <w:numId w:val="2"/>
        </w:numPr>
        <w:jc w:val="start"/>
        <w:rPr>
          <w:lang w:val="nl-NL"/>
        </w:rPr>
      </w:pPr>
      <w:r>
        <w:rPr>
          <w:lang w:val="nl-NL"/>
        </w:rPr>
        <w:t>herstelwerkzaamheden</w:t>
      </w:r>
    </w:p>
    <w:p>
      <w:pPr>
        <w:pStyle w:val="T1"/>
        <w:numPr>
          <w:ilvl w:val="0"/>
          <w:numId w:val="2"/>
        </w:numPr>
        <w:jc w:val="start"/>
        <w:rPr>
          <w:lang w:val="nl-NL"/>
        </w:rPr>
      </w:pPr>
      <w:r>
        <w:rPr>
          <w:lang w:val="nl-NL"/>
        </w:rPr>
        <w:t>houten pijpen gerepareerd</w:t>
      </w:r>
    </w:p>
    <w:p>
      <w:pPr>
        <w:pStyle w:val="T1"/>
        <w:numPr>
          <w:ilvl w:val="0"/>
          <w:numId w:val="2"/>
        </w:numPr>
        <w:jc w:val="start"/>
        <w:rPr>
          <w:lang w:val="nl-NL"/>
        </w:rPr>
      </w:pPr>
      <w:r>
        <w:rPr>
          <w:lang w:val="nl-NL"/>
        </w:rPr>
        <w:t>intonatie herzien</w:t>
      </w:r>
    </w:p>
    <w:p>
      <w:pPr>
        <w:pStyle w:val="T1"/>
        <w:jc w:val="start"/>
        <w:rPr>
          <w:lang w:val="nl-NL"/>
        </w:rPr>
      </w:pPr>
      <w:r>
        <w:rPr>
          <w:lang w:val="nl-NL"/>
        </w:rPr>
      </w:r>
    </w:p>
    <w:p>
      <w:pPr>
        <w:pStyle w:val="T1"/>
        <w:jc w:val="start"/>
        <w:rPr>
          <w:lang w:val="nl-NL"/>
        </w:rPr>
      </w:pPr>
      <w:r>
        <w:rPr>
          <w:lang w:val="nl-NL"/>
        </w:rPr>
        <w:t>Flentrop Orgelbouw 1983</w:t>
      </w:r>
    </w:p>
    <w:p>
      <w:pPr>
        <w:pStyle w:val="T1"/>
        <w:numPr>
          <w:ilvl w:val="0"/>
          <w:numId w:val="3"/>
        </w:numPr>
        <w:jc w:val="start"/>
        <w:rPr>
          <w:lang w:val="nl-NL"/>
        </w:rPr>
      </w:pPr>
      <w:r>
        <w:rPr>
          <w:lang w:val="nl-NL"/>
        </w:rPr>
        <w:t>speel- en registermembranen vernieuwd</w:t>
      </w:r>
    </w:p>
    <w:p>
      <w:pPr>
        <w:pStyle w:val="T1"/>
        <w:jc w:val="start"/>
        <w:rPr>
          <w:lang w:val="nl-NL"/>
        </w:rPr>
      </w:pPr>
      <w:r>
        <w:rPr>
          <w:lang w:val="nl-NL"/>
        </w:rPr>
      </w:r>
    </w:p>
    <w:p>
      <w:pPr>
        <w:pStyle w:val="T1"/>
        <w:jc w:val="start"/>
        <w:rPr>
          <w:lang w:val="nl-NL"/>
        </w:rPr>
      </w:pPr>
      <w:r>
        <w:rPr>
          <w:lang w:val="nl-NL"/>
        </w:rPr>
        <w:t>Flentrop Orgelbouw 1990</w:t>
      </w:r>
    </w:p>
    <w:p>
      <w:pPr>
        <w:pStyle w:val="T1"/>
        <w:numPr>
          <w:ilvl w:val="0"/>
          <w:numId w:val="3"/>
        </w:numPr>
        <w:jc w:val="start"/>
        <w:rPr>
          <w:lang w:val="nl-NL"/>
        </w:rPr>
      </w:pPr>
      <w:r>
        <w:rPr>
          <w:lang w:val="nl-NL"/>
        </w:rPr>
        <w:t>regulateur van nieuw leer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690"/>
        <w:gridCol w:w="720"/>
        <w:gridCol w:w="2340"/>
        <w:gridCol w:w="720"/>
        <w:gridCol w:w="1260"/>
        <w:gridCol w:w="540"/>
      </w:tblGrid>
      <w:tr>
        <w:trPr/>
        <w:tc>
          <w:tcPr>
            <w:tcW w:w="1690" w:type="dxa"/>
            <w:tcBorders/>
          </w:tcPr>
          <w:p>
            <w:pPr>
              <w:pStyle w:val="T4dispositie"/>
              <w:jc w:val="start"/>
              <w:rPr>
                <w:i/>
                <w:i/>
                <w:iCs/>
              </w:rPr>
            </w:pPr>
            <w:r>
              <w:rPr>
                <w:i/>
                <w:iCs/>
              </w:rPr>
              <w:t>Manuaal I</w:t>
            </w:r>
          </w:p>
          <w:p>
            <w:pPr>
              <w:pStyle w:val="T4dispositie"/>
              <w:jc w:val="start"/>
              <w:rPr/>
            </w:pPr>
            <w:r>
              <w:rPr/>
              <w:t>10 stemmen</w:t>
            </w:r>
          </w:p>
          <w:p>
            <w:pPr>
              <w:pStyle w:val="T4dispositie"/>
              <w:jc w:val="start"/>
              <w:rPr/>
            </w:pPr>
            <w:r>
              <w:rPr/>
            </w:r>
          </w:p>
          <w:p>
            <w:pPr>
              <w:pStyle w:val="T4dispositie"/>
              <w:jc w:val="start"/>
              <w:rPr>
                <w:lang w:val="nl-NL"/>
              </w:rPr>
            </w:pPr>
            <w:r>
              <w:rPr>
                <w:lang w:val="nl-NL"/>
              </w:rPr>
              <w:t>Bourdon</w:t>
            </w:r>
          </w:p>
          <w:p>
            <w:pPr>
              <w:pStyle w:val="T4dispositie"/>
              <w:jc w:val="start"/>
              <w:rPr>
                <w:lang w:val="fr-FR"/>
              </w:rPr>
            </w:pPr>
            <w:r>
              <w:rPr>
                <w:lang w:val="fr-FR"/>
              </w:rPr>
              <w:t>Prestant</w:t>
            </w:r>
          </w:p>
          <w:p>
            <w:pPr>
              <w:pStyle w:val="T4dispositie"/>
              <w:jc w:val="start"/>
              <w:rPr>
                <w:lang w:val="fr-FR"/>
              </w:rPr>
            </w:pPr>
            <w:r>
              <w:rPr>
                <w:lang w:val="fr-FR"/>
              </w:rPr>
              <w:t>Roerfluit</w:t>
            </w:r>
          </w:p>
          <w:p>
            <w:pPr>
              <w:pStyle w:val="T4dispositie"/>
              <w:jc w:val="start"/>
              <w:rPr>
                <w:lang w:val="fr-FR"/>
              </w:rPr>
            </w:pPr>
            <w:r>
              <w:rPr>
                <w:lang w:val="fr-FR"/>
              </w:rPr>
              <w:t>Salicionaal</w:t>
            </w:r>
          </w:p>
          <w:p>
            <w:pPr>
              <w:pStyle w:val="T4dispositie"/>
              <w:jc w:val="start"/>
              <w:rPr>
                <w:lang w:val="fr-FR"/>
              </w:rPr>
            </w:pPr>
            <w:r>
              <w:rPr>
                <w:lang w:val="fr-FR"/>
              </w:rPr>
              <w:t>Octaaf</w:t>
            </w:r>
          </w:p>
          <w:p>
            <w:pPr>
              <w:pStyle w:val="T4dispositie"/>
              <w:jc w:val="start"/>
              <w:rPr>
                <w:lang w:val="fr-FR"/>
              </w:rPr>
            </w:pPr>
            <w:r>
              <w:rPr>
                <w:lang w:val="fr-FR"/>
              </w:rPr>
              <w:t>Quint</w:t>
            </w:r>
          </w:p>
          <w:p>
            <w:pPr>
              <w:pStyle w:val="T4dispositie"/>
              <w:jc w:val="start"/>
              <w:rPr>
                <w:lang w:val="fr-FR"/>
              </w:rPr>
            </w:pPr>
            <w:r>
              <w:rPr>
                <w:lang w:val="fr-FR"/>
              </w:rPr>
              <w:t>Octaaf</w:t>
            </w:r>
          </w:p>
          <w:p>
            <w:pPr>
              <w:pStyle w:val="T4dispositie"/>
              <w:jc w:val="start"/>
              <w:rPr/>
            </w:pPr>
            <w:r>
              <w:rPr/>
              <w:t>Mixtuur</w:t>
            </w:r>
          </w:p>
          <w:p>
            <w:pPr>
              <w:pStyle w:val="T4dispositie"/>
              <w:jc w:val="start"/>
              <w:rPr/>
            </w:pPr>
            <w:r>
              <w:rPr/>
              <w:t>Cornet D</w:t>
            </w:r>
          </w:p>
          <w:p>
            <w:pPr>
              <w:pStyle w:val="T4dispositie"/>
              <w:jc w:val="start"/>
              <w:rPr/>
            </w:pPr>
            <w:r>
              <w:rPr/>
              <w:t>Trompet</w:t>
            </w:r>
          </w:p>
        </w:tc>
        <w:tc>
          <w:tcPr>
            <w:tcW w:w="72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5 st.</w:t>
            </w:r>
          </w:p>
          <w:p>
            <w:pPr>
              <w:pStyle w:val="T4dispositie"/>
              <w:jc w:val="start"/>
              <w:rPr>
                <w:lang w:val="nl-NL"/>
              </w:rPr>
            </w:pPr>
            <w:r>
              <w:rPr>
                <w:lang w:val="nl-NL"/>
              </w:rPr>
              <w:t>8'</w:t>
            </w:r>
          </w:p>
        </w:tc>
        <w:tc>
          <w:tcPr>
            <w:tcW w:w="2340" w:type="dxa"/>
            <w:tcBorders/>
          </w:tcPr>
          <w:p>
            <w:pPr>
              <w:pStyle w:val="T4dispositie"/>
              <w:jc w:val="start"/>
              <w:rPr>
                <w:lang w:val="nl-NL"/>
              </w:rPr>
            </w:pPr>
            <w:r>
              <w:rPr>
                <w:i/>
                <w:iCs/>
                <w:lang w:val="nl-NL"/>
              </w:rPr>
              <w:t>Manuaal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Quintadeen</w:t>
            </w:r>
          </w:p>
          <w:p>
            <w:pPr>
              <w:pStyle w:val="T4dispositie"/>
              <w:jc w:val="start"/>
              <w:rPr>
                <w:lang w:val="fr-FR"/>
              </w:rPr>
            </w:pPr>
            <w:r>
              <w:rPr>
                <w:lang w:val="fr-FR"/>
              </w:rPr>
              <w:t>Holpijp</w:t>
            </w:r>
          </w:p>
          <w:p>
            <w:pPr>
              <w:pStyle w:val="T4dispositie"/>
              <w:jc w:val="start"/>
              <w:rPr/>
            </w:pPr>
            <w:r>
              <w:rPr/>
              <w:t>Viola di Gamba</w:t>
            </w:r>
          </w:p>
          <w:p>
            <w:pPr>
              <w:pStyle w:val="T4dispositie"/>
              <w:jc w:val="start"/>
              <w:rPr/>
            </w:pPr>
            <w:r>
              <w:rPr/>
              <w:t>Vox Celeste</w:t>
            </w:r>
          </w:p>
          <w:p>
            <w:pPr>
              <w:pStyle w:val="T4dispositie"/>
              <w:jc w:val="start"/>
              <w:rPr/>
            </w:pPr>
            <w:r>
              <w:rPr/>
              <w:t>Speelfluit</w:t>
            </w:r>
          </w:p>
          <w:p>
            <w:pPr>
              <w:pStyle w:val="T4dispositie"/>
              <w:jc w:val="start"/>
              <w:rPr/>
            </w:pPr>
            <w:r>
              <w:rPr/>
              <w:t>Fluit</w:t>
            </w:r>
          </w:p>
          <w:p>
            <w:pPr>
              <w:pStyle w:val="T4dispositie"/>
              <w:jc w:val="start"/>
              <w:rPr>
                <w:lang w:val="fr-FR"/>
              </w:rPr>
            </w:pPr>
            <w:r>
              <w:rPr>
                <w:lang w:val="fr-FR"/>
              </w:rPr>
              <w:t>Sesquialter</w:t>
            </w:r>
          </w:p>
          <w:p>
            <w:pPr>
              <w:pStyle w:val="T4dispositie"/>
              <w:jc w:val="start"/>
              <w:rPr>
                <w:lang w:val="fr-FR"/>
              </w:rPr>
            </w:pPr>
            <w:r>
              <w:rPr>
                <w:lang w:val="fr-FR"/>
              </w:rPr>
              <w:t>Basson-Hobo</w:t>
            </w:r>
          </w:p>
        </w:tc>
        <w:tc>
          <w:tcPr>
            <w:tcW w:w="72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2'</w:t>
            </w:r>
          </w:p>
          <w:p>
            <w:pPr>
              <w:pStyle w:val="T4dispositie"/>
              <w:jc w:val="start"/>
              <w:rPr/>
            </w:pPr>
            <w:r>
              <w:rPr/>
              <w:t>2 st.*</w:t>
            </w:r>
          </w:p>
          <w:p>
            <w:pPr>
              <w:pStyle w:val="T4dispositie"/>
              <w:jc w:val="start"/>
              <w:rPr/>
            </w:pPr>
            <w:r>
              <w:rPr/>
              <w:t>8'</w:t>
            </w:r>
          </w:p>
        </w:tc>
        <w:tc>
          <w:tcPr>
            <w:tcW w:w="1260" w:type="dxa"/>
            <w:tcBorders/>
          </w:tcPr>
          <w:p>
            <w:pPr>
              <w:pStyle w:val="T4dispositie"/>
              <w:jc w:val="start"/>
              <w:rPr>
                <w:i/>
                <w:i/>
                <w:iCs/>
                <w:lang w:val="fr-FR"/>
              </w:rPr>
            </w:pPr>
            <w:r>
              <w:rPr>
                <w:i/>
                <w:iCs/>
                <w:lang w:val="fr-FR"/>
              </w:rPr>
              <w:t>Pedaal</w:t>
            </w:r>
          </w:p>
          <w:p>
            <w:pPr>
              <w:pStyle w:val="T4dispositie"/>
              <w:jc w:val="start"/>
              <w:rPr>
                <w:lang w:val="fr-FR"/>
              </w:rPr>
            </w:pPr>
            <w:r>
              <w:rPr>
                <w:lang w:val="fr-FR"/>
              </w:rPr>
              <w:t>5 stemmen</w:t>
            </w:r>
          </w:p>
          <w:p>
            <w:pPr>
              <w:pStyle w:val="T4dispositie"/>
              <w:jc w:val="start"/>
              <w:rPr>
                <w:lang w:val="fr-FR"/>
              </w:rPr>
            </w:pPr>
            <w:r>
              <w:rPr>
                <w:lang w:val="fr-FR"/>
              </w:rPr>
            </w:r>
          </w:p>
          <w:p>
            <w:pPr>
              <w:pStyle w:val="T4dispositie"/>
              <w:jc w:val="start"/>
              <w:rPr>
                <w:lang w:val="fr-FR"/>
              </w:rPr>
            </w:pPr>
            <w:r>
              <w:rPr>
                <w:lang w:val="fr-FR"/>
              </w:rPr>
              <w:t>Subbas</w:t>
            </w:r>
          </w:p>
          <w:p>
            <w:pPr>
              <w:pStyle w:val="T4dispositie"/>
              <w:jc w:val="start"/>
              <w:rPr>
                <w:lang w:val="fr-FR"/>
              </w:rPr>
            </w:pPr>
            <w:r>
              <w:rPr>
                <w:lang w:val="fr-FR"/>
              </w:rPr>
              <w:t>Gedektbas</w:t>
            </w:r>
          </w:p>
          <w:p>
            <w:pPr>
              <w:pStyle w:val="T4dispositie"/>
              <w:jc w:val="start"/>
              <w:rPr>
                <w:lang w:val="fr-FR"/>
              </w:rPr>
            </w:pPr>
            <w:r>
              <w:rPr>
                <w:lang w:val="fr-FR"/>
              </w:rPr>
              <w:t>Octaafbas</w:t>
            </w:r>
          </w:p>
          <w:p>
            <w:pPr>
              <w:pStyle w:val="T4dispositie"/>
              <w:jc w:val="start"/>
              <w:rPr>
                <w:lang w:val="fr-FR"/>
              </w:rPr>
            </w:pPr>
            <w:r>
              <w:rPr>
                <w:lang w:val="fr-FR"/>
              </w:rPr>
              <w:t>Gedekt</w:t>
            </w:r>
          </w:p>
          <w:p>
            <w:pPr>
              <w:pStyle w:val="T4dispositie"/>
              <w:jc w:val="start"/>
              <w:rPr>
                <w:lang w:val="fr-FR"/>
              </w:rPr>
            </w:pPr>
            <w:r>
              <w:rPr>
                <w:lang w:val="fr-FR"/>
              </w:rPr>
              <w:t>Octaaf</w:t>
            </w:r>
          </w:p>
        </w:tc>
        <w:tc>
          <w:tcPr>
            <w:tcW w:w="54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16' tr</w:t>
            </w:r>
          </w:p>
          <w:p>
            <w:pPr>
              <w:pStyle w:val="T4dispositie"/>
              <w:jc w:val="start"/>
              <w:rPr>
                <w:lang w:val="fr-FR"/>
              </w:rPr>
            </w:pPr>
            <w:r>
              <w:rPr>
                <w:lang w:val="fr-FR"/>
              </w:rPr>
              <w:t>8'</w:t>
            </w:r>
          </w:p>
          <w:p>
            <w:pPr>
              <w:pStyle w:val="T4dispositie"/>
              <w:jc w:val="start"/>
              <w:rPr>
                <w:lang w:val="nl-NL"/>
              </w:rPr>
            </w:pPr>
            <w:r>
              <w:rPr>
                <w:lang w:val="nl-NL"/>
              </w:rPr>
              <w:t>8' tr</w:t>
            </w:r>
          </w:p>
          <w:p>
            <w:pPr>
              <w:pStyle w:val="T4dispositie"/>
              <w:jc w:val="start"/>
              <w:rPr>
                <w:lang w:val="nl-NL"/>
              </w:rPr>
            </w:pPr>
            <w:r>
              <w:rPr>
                <w:lang w:val="nl-NL"/>
              </w:rPr>
              <w:t>4' tr</w:t>
            </w:r>
          </w:p>
        </w:tc>
      </w:tr>
    </w:tbl>
    <w:p>
      <w:pPr>
        <w:pStyle w:val="T4dispositie"/>
        <w:rPr>
          <w:lang w:val="nl-NL"/>
        </w:rPr>
      </w:pPr>
      <w:r>
        <w:rPr>
          <w:lang w:val="nl-NL"/>
        </w:rPr>
      </w:r>
    </w:p>
    <w:p>
      <w:pPr>
        <w:pStyle w:val="T4dispositie"/>
        <w:rPr>
          <w:lang w:val="nl-NL"/>
        </w:rPr>
      </w:pPr>
      <w:r>
        <w:rPr>
          <w:lang w:val="nl-NL"/>
        </w:rPr>
        <w:t>* in werkelijkheid 2-3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pPr>
      <w:r>
        <w:rPr/>
        <w:t>koppelingen I-II, I-II 4', Ped-I 4', Ped-I, Ped-II</w:t>
      </w:r>
    </w:p>
    <w:p>
      <w:pPr>
        <w:pStyle w:val="T1"/>
        <w:jc w:val="start"/>
        <w:rPr>
          <w:lang w:val="nl-NL"/>
        </w:rPr>
      </w:pPr>
      <w:r>
        <w:rPr>
          <w:lang w:val="nl-NL"/>
        </w:rPr>
        <w:t>vaste combinaties P-MF-F-Tutti (buiten werking)</w:t>
      </w:r>
    </w:p>
    <w:p>
      <w:pPr>
        <w:pStyle w:val="T1"/>
        <w:jc w:val="start"/>
        <w:rPr>
          <w:lang w:val="nl-NL"/>
        </w:rPr>
      </w:pPr>
      <w:r>
        <w:rPr>
          <w:lang w:val="nl-NL"/>
        </w:rPr>
        <w:t>automatisch pedaal (buiten werking)</w:t>
      </w:r>
    </w:p>
    <w:p>
      <w:pPr>
        <w:pStyle w:val="T1"/>
        <w:jc w:val="start"/>
        <w:rPr>
          <w:lang w:val="nl-NL"/>
        </w:rPr>
      </w:pPr>
      <w:r>
        <w:rPr>
          <w:lang w:val="nl-NL"/>
        </w:rPr>
        <w:t>generaal crescendo (buiten werking</w:t>
      </w:r>
    </w:p>
    <w:p>
      <w:pPr>
        <w:pStyle w:val="T1"/>
        <w:jc w:val="start"/>
        <w:rPr>
          <w:lang w:val="nl-NL"/>
        </w:rPr>
      </w:pPr>
      <w:r>
        <w:rPr>
          <w:lang w:val="nl-NL"/>
        </w:rPr>
        <w:t>tremulant Man II</w:t>
      </w:r>
    </w:p>
    <w:p>
      <w:pPr>
        <w:pStyle w:val="T1"/>
        <w:jc w:val="start"/>
        <w:rPr>
          <w:lang w:val="nl-NL"/>
        </w:rPr>
      </w:pPr>
      <w:r>
        <w:rPr>
          <w:lang w:val="nl-NL"/>
        </w:rPr>
      </w:r>
    </w:p>
    <w:p>
      <w:pPr>
        <w:pStyle w:val="T1"/>
        <w:jc w:val="start"/>
        <w:rPr/>
      </w:pPr>
      <w:r>
        <w:rPr/>
        <w:t>Samenstelling vulstemmen</w:t>
      </w:r>
    </w:p>
    <w:tbl>
      <w:tblPr>
        <w:tblW w:w="2950" w:type="dxa"/>
        <w:jc w:val="start"/>
        <w:tblInd w:w="-70" w:type="dxa"/>
        <w:tblLayout w:type="fixed"/>
        <w:tblCellMar>
          <w:top w:w="0" w:type="dxa"/>
          <w:start w:w="70" w:type="dxa"/>
          <w:bottom w:w="0" w:type="dxa"/>
          <w:end w:w="70" w:type="dxa"/>
        </w:tblCellMar>
      </w:tblPr>
      <w:tblGrid>
        <w:gridCol w:w="1690"/>
        <w:gridCol w:w="540"/>
        <w:gridCol w:w="720"/>
      </w:tblGrid>
      <w:tr>
        <w:trPr/>
        <w:tc>
          <w:tcPr>
            <w:tcW w:w="1690" w:type="dxa"/>
            <w:tcBorders/>
          </w:tcPr>
          <w:p>
            <w:pPr>
              <w:pStyle w:val="T1"/>
              <w:rPr/>
            </w:pPr>
            <w:r>
              <w:rPr/>
              <w:t>Mixtuur Man I</w:t>
            </w:r>
          </w:p>
        </w:tc>
        <w:tc>
          <w:tcPr>
            <w:tcW w:w="540"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0"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r>
    </w:tbl>
    <w:p>
      <w:pPr>
        <w:pStyle w:val="T1"/>
        <w:jc w:val="start"/>
        <w:rPr/>
      </w:pPr>
      <w:r>
        <w:rPr/>
      </w:r>
    </w:p>
    <w:p>
      <w:pPr>
        <w:pStyle w:val="T1"/>
        <w:jc w:val="start"/>
        <w:rPr/>
      </w:pPr>
      <w:r>
        <w:rPr/>
        <w:t xml:space="preserve">Cornet Man I   </w:t>
      </w:r>
      <w:r>
        <w:rPr>
          <w:sz w:val="20"/>
        </w:rPr>
        <w:t>g  8 - 4 - 2 2/3 -2 - 1 3/5</w:t>
      </w:r>
    </w:p>
    <w:p>
      <w:pPr>
        <w:pStyle w:val="T1"/>
        <w:jc w:val="start"/>
        <w:rPr>
          <w:sz w:val="20"/>
        </w:rPr>
      </w:pPr>
      <w:r>
        <w:rPr>
          <w:sz w:val="20"/>
        </w:rPr>
      </w:r>
    </w:p>
    <w:tbl>
      <w:tblPr>
        <w:tblW w:w="3721" w:type="dxa"/>
        <w:jc w:val="start"/>
        <w:tblInd w:w="-70" w:type="dxa"/>
        <w:tblLayout w:type="fixed"/>
        <w:tblCellMar>
          <w:top w:w="0" w:type="dxa"/>
          <w:start w:w="70" w:type="dxa"/>
          <w:bottom w:w="0" w:type="dxa"/>
          <w:end w:w="70" w:type="dxa"/>
        </w:tblCellMar>
      </w:tblPr>
      <w:tblGrid>
        <w:gridCol w:w="1990"/>
        <w:gridCol w:w="619"/>
        <w:gridCol w:w="484"/>
        <w:gridCol w:w="628"/>
      </w:tblGrid>
      <w:tr>
        <w:trPr/>
        <w:tc>
          <w:tcPr>
            <w:tcW w:w="1990" w:type="dxa"/>
            <w:tcBorders/>
          </w:tcPr>
          <w:p>
            <w:pPr>
              <w:pStyle w:val="T1"/>
              <w:jc w:val="start"/>
              <w:rPr/>
            </w:pPr>
            <w:r>
              <w:rPr/>
              <w:t>Sesquialter Man II</w:t>
            </w:r>
          </w:p>
        </w:tc>
        <w:tc>
          <w:tcPr>
            <w:tcW w:w="619" w:type="dxa"/>
            <w:tcBorders/>
          </w:tcPr>
          <w:p>
            <w:pPr>
              <w:pStyle w:val="T4dispositie"/>
              <w:rPr/>
            </w:pPr>
            <w:r>
              <w:rPr/>
              <w:t>C</w:t>
            </w:r>
          </w:p>
          <w:p>
            <w:pPr>
              <w:pStyle w:val="T4dispositie"/>
              <w:rPr/>
            </w:pPr>
            <w:r>
              <w:rPr/>
              <w:t>1 1/3</w:t>
            </w:r>
          </w:p>
          <w:p>
            <w:pPr>
              <w:pStyle w:val="T4dispositie"/>
              <w:rPr/>
            </w:pPr>
            <w:r>
              <w:rPr/>
              <w:t>1</w:t>
            </w:r>
          </w:p>
        </w:tc>
        <w:tc>
          <w:tcPr>
            <w:tcW w:w="484" w:type="dxa"/>
            <w:tcBorders/>
          </w:tcPr>
          <w:p>
            <w:pPr>
              <w:pStyle w:val="T4dispositie"/>
              <w:rPr/>
            </w:pPr>
            <w:r>
              <w:rPr/>
              <w:t>C</w:t>
            </w:r>
          </w:p>
          <w:p>
            <w:pPr>
              <w:pStyle w:val="T4dispositie"/>
              <w:rPr/>
            </w:pPr>
            <w:r>
              <w:rPr/>
              <w:t>1</w:t>
            </w:r>
          </w:p>
          <w:p>
            <w:pPr>
              <w:pStyle w:val="T4dispositie"/>
              <w:rPr/>
            </w:pPr>
            <w:r>
              <w:rPr/>
              <w:t>1/2</w:t>
            </w:r>
          </w:p>
        </w:tc>
        <w:tc>
          <w:tcPr>
            <w:tcW w:w="62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3/5</w:t>
            </w:r>
          </w:p>
        </w:tc>
      </w:tr>
    </w:tbl>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één regulateur</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achter op de rechter galerij</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instrument gebruikte Spiering pijpwerk van het Proper-orgel dat in de oude kerk stond. Dit pijpwerk is onder andere te vinden in de Roerfluit 8', Octaaf 4', Octaaf 2' en Mixtuur (Man I) en Holpijp 8' en Fluit 2' (Man II).</w:t>
      </w:r>
    </w:p>
    <w:p>
      <w:pPr>
        <w:pStyle w:val="T1"/>
        <w:jc w:val="start"/>
        <w:rPr>
          <w:lang w:val="nl-NL"/>
        </w:rPr>
      </w:pPr>
      <w:r>
        <w:rPr>
          <w:lang w:val="nl-NL"/>
        </w:rPr>
        <w:t>Het pijpwerk op de laden staat chromatisch opgesteld van binnen naar buiten aflopend: dat van het Man I op de rechterlade, dat van het Man II op de linkerlade. De pedaallade staat achter de manuaalladen. De Quint 2 2/3 van Man I staat op plaats van de Trompet. Dit laatste register staat op een toegevoegde lade daarachter. De Cornet staat tussen de twee sprekende rijen frontpijpen.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2010-03-21T20:55:00Z</dcterms:created>
  <dc:creator>WS1</dc:creator>
  <dc:description/>
  <dc:language>en-US</dc:language>
  <cp:lastModifiedBy>NIvO</cp:lastModifiedBy>
  <dcterms:modified xsi:type="dcterms:W3CDTF">2010-03-23T12:47:00Z</dcterms:modified>
  <cp:revision>3</cp:revision>
  <dc:subject/>
  <dc:title>Zeeland / 1895</dc:title>
</cp:coreProperties>
</file>