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 / 1931</w:t>
      </w:r>
    </w:p>
    <w:p>
      <w:pPr>
        <w:pStyle w:val="Heading2"/>
        <w:rPr>
          <w:i w:val="false"/>
          <w:i w:val="false"/>
          <w:iCs/>
        </w:rPr>
      </w:pPr>
      <w:r>
        <w:rPr>
          <w:i w:val="false"/>
          <w:iCs/>
        </w:rPr>
        <w:t>Gereformeerde Nassaukerk</w:t>
      </w:r>
    </w:p>
    <w:p>
      <w:pPr>
        <w:pStyle w:val="T1"/>
        <w:jc w:val="start"/>
        <w:rPr>
          <w:i/>
          <w:i/>
          <w:iCs/>
          <w:lang w:val="nl-NL"/>
        </w:rPr>
      </w:pPr>
      <w:r>
        <w:rPr>
          <w:i/>
          <w:iCs/>
          <w:lang w:val="nl-NL"/>
        </w:rPr>
      </w:r>
    </w:p>
    <w:p>
      <w:pPr>
        <w:pStyle w:val="T1"/>
        <w:jc w:val="start"/>
        <w:rPr>
          <w:i/>
          <w:i/>
          <w:iCs/>
          <w:lang w:val="nl-NL"/>
        </w:rPr>
      </w:pPr>
      <w:r>
        <w:rPr>
          <w:i/>
          <w:iCs/>
          <w:lang w:val="nl-NL"/>
        </w:rPr>
        <w:t>Kerk gebouwd in 1925-‘26 volgens het principe van de ‘centraalbouw’ naar een ontwerp van architect Krijgsman. De grote kap bestaat uit een met hout afgetimmerde stalen frame.</w:t>
      </w:r>
    </w:p>
    <w:p>
      <w:pPr>
        <w:pStyle w:val="T1"/>
        <w:jc w:val="start"/>
        <w:rPr>
          <w:i/>
          <w:i/>
          <w:iCs/>
          <w:lang w:val="nl-NL"/>
        </w:rPr>
      </w:pPr>
      <w:r>
        <w:rPr>
          <w:i/>
          <w:iCs/>
          <w:lang w:val="nl-NL"/>
        </w:rPr>
      </w:r>
    </w:p>
    <w:p>
      <w:pPr>
        <w:pStyle w:val="T1"/>
        <w:jc w:val="start"/>
        <w:rPr>
          <w:lang w:val="nl-NL"/>
        </w:rPr>
      </w:pPr>
      <w:r>
        <w:rPr>
          <w:lang w:val="nl-NL"/>
        </w:rPr>
        <w:t>Kas: 1927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front is in 1927 gemaakt door de orgelmaker De Koff. Het is aangebracht boven de kansel en maskeert de nis waarin in 1931 door Valckx &amp; Van Kouteren het instrument is geplaatst. Eigenlijk is het een curieus ontwerp. De in totaal vier vlakke pijpvelden, uiterst sober maar stijlvol uitgevoerd, zijn zodanig geplaatst dat, naast een kruisvorm, de suggestie van een werkindeling ontstaat: hoofdwerk, rugwerk en pedaal. Het ‘rugwerk’ is een echte kas met diepte, de zijkanten bestaan ook uit frontpijpen, en een puntdak. Het op dit puntdak geplaatste ‘hoofdwerk’, ook met zijvelden, staat verder naar achteren en extrapoleert de puntvorm in alle opzichten naar boven. Aan weerszijden zijn, nog verder teruggeplaatst, de twee ‘pedaalvelden’ aangebracht. Op het hoofdwerk na zijn alle labiumlijnen recht; ornamentiek ontbreekt geheel.</w:t>
      </w:r>
    </w:p>
    <w:p>
      <w:pPr>
        <w:pStyle w:val="T2Kunst"/>
        <w:jc w:val="start"/>
        <w:rPr>
          <w:lang w:val="nl-NL"/>
        </w:rPr>
      </w:pPr>
      <w:r>
        <w:rPr>
          <w:lang w:val="nl-NL"/>
        </w:rPr>
      </w:r>
    </w:p>
    <w:p>
      <w:pPr>
        <w:pStyle w:val="T3Lit"/>
        <w:jc w:val="start"/>
        <w:rPr>
          <w:i/>
          <w:i/>
          <w:iCs/>
          <w:lang w:val="nl-NL"/>
        </w:rPr>
      </w:pPr>
      <w:r>
        <w:rPr>
          <w:b/>
          <w:bCs/>
          <w:lang w:val="nl-NL"/>
        </w:rPr>
        <w:t>Literatuur</w:t>
      </w:r>
    </w:p>
    <w:p>
      <w:pPr>
        <w:pStyle w:val="T3Lit"/>
        <w:jc w:val="start"/>
        <w:rPr/>
      </w:pPr>
      <w:r>
        <w:rPr>
          <w:lang w:val="nl-NL"/>
        </w:rPr>
        <w:t xml:space="preserve">Hans Fidom, ‘Herhaalt de geschiedenis zich?: De betekenis van de vroeg-20ste-eeuwse orgels’. </w:t>
      </w:r>
      <w:r>
        <w:rPr>
          <w:i/>
          <w:iCs/>
          <w:lang w:val="nl-NL"/>
        </w:rPr>
        <w:t>Het Orgel</w:t>
      </w:r>
      <w:r>
        <w:rPr>
          <w:lang w:val="nl-NL"/>
        </w:rPr>
        <w:t>, 98/4 (2002), 35-37.</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fa De Koff (front)</w:t>
      </w:r>
    </w:p>
    <w:p>
      <w:pPr>
        <w:pStyle w:val="T1"/>
        <w:jc w:val="start"/>
        <w:rPr>
          <w:lang w:val="nl-NL"/>
        </w:rPr>
      </w:pPr>
      <w:r>
        <w:rPr>
          <w:lang w:val="nl-NL"/>
        </w:rPr>
        <w:t>2. Valckx &amp; Van Kouteren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1. 1927</w:t>
      </w:r>
    </w:p>
    <w:p>
      <w:pPr>
        <w:pStyle w:val="T1"/>
        <w:jc w:val="start"/>
        <w:rPr>
          <w:lang w:val="nl-NL"/>
        </w:rPr>
      </w:pPr>
      <w:r>
        <w:rPr>
          <w:lang w:val="nl-NL"/>
        </w:rPr>
        <w:t>2. 1931</w:t>
      </w:r>
    </w:p>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dhr Vlaardingen Oldenzeel, onbekend moment</w:t>
      </w:r>
    </w:p>
    <w:p>
      <w:pPr>
        <w:pStyle w:val="T1"/>
        <w:numPr>
          <w:ilvl w:val="0"/>
          <w:numId w:val="3"/>
        </w:numPr>
        <w:jc w:val="start"/>
        <w:rPr>
          <w:lang w:val="nl-NL"/>
        </w:rPr>
      </w:pPr>
      <w:r>
        <w:rPr>
          <w:lang w:val="nl-NL"/>
        </w:rPr>
        <w:t>Man II - Vioolprestant 8',- Viola di Gamba 8', - Voix Céleste 8', - Solofluit 2', + Fugara 4', + Octaaf 2', + Terts 1 3/5', + Kwint 1 1/3'</w:t>
      </w:r>
    </w:p>
    <w:p>
      <w:pPr>
        <w:pStyle w:val="T1"/>
        <w:jc w:val="start"/>
        <w:rPr>
          <w:lang w:val="nl-NL"/>
        </w:rPr>
      </w:pPr>
      <w:r>
        <w:rPr>
          <w:lang w:val="nl-NL"/>
        </w:rPr>
      </w:r>
    </w:p>
    <w:p>
      <w:pPr>
        <w:pStyle w:val="T1"/>
        <w:jc w:val="start"/>
        <w:rPr>
          <w:lang w:val="nl-NL"/>
        </w:rPr>
      </w:pPr>
      <w:r>
        <w:rPr>
          <w:lang w:val="nl-NL"/>
        </w:rPr>
        <w:t>Adema-Schreurs Kerkorgelbouw 1974</w:t>
      </w:r>
    </w:p>
    <w:p>
      <w:pPr>
        <w:pStyle w:val="T1"/>
        <w:numPr>
          <w:ilvl w:val="0"/>
          <w:numId w:val="2"/>
        </w:numPr>
        <w:jc w:val="start"/>
        <w:rPr>
          <w:lang w:val="nl-NL"/>
        </w:rPr>
      </w:pPr>
      <w:r>
        <w:rPr>
          <w:lang w:val="nl-NL"/>
        </w:rPr>
        <w:t>herstel</w:t>
      </w:r>
    </w:p>
    <w:p>
      <w:pPr>
        <w:pStyle w:val="T1"/>
        <w:numPr>
          <w:ilvl w:val="0"/>
          <w:numId w:val="2"/>
        </w:numPr>
        <w:jc w:val="start"/>
        <w:rPr>
          <w:lang w:val="nl-NL"/>
        </w:rPr>
      </w:pPr>
      <w:r>
        <w:rPr>
          <w:lang w:val="nl-NL"/>
        </w:rPr>
        <w:t>Man II Fugara 4' vervangen door Vioolprestant 8'</w:t>
      </w:r>
    </w:p>
    <w:p>
      <w:pPr>
        <w:pStyle w:val="T1"/>
        <w:jc w:val="start"/>
        <w:rPr>
          <w:lang w:val="nl-NL"/>
        </w:rPr>
      </w:pPr>
      <w:r>
        <w:rPr>
          <w:lang w:val="nl-NL"/>
        </w:rPr>
      </w:r>
    </w:p>
    <w:p>
      <w:pPr>
        <w:pStyle w:val="T1"/>
        <w:jc w:val="start"/>
        <w:rPr>
          <w:lang w:val="nl-NL"/>
        </w:rPr>
      </w:pPr>
      <w:r>
        <w:rPr>
          <w:lang w:val="nl-NL"/>
        </w:rPr>
        <w:t>2000</w:t>
      </w:r>
    </w:p>
    <w:p>
      <w:pPr>
        <w:pStyle w:val="T1"/>
        <w:numPr>
          <w:ilvl w:val="0"/>
          <w:numId w:val="4"/>
        </w:numPr>
        <w:jc w:val="start"/>
        <w:rPr>
          <w:lang w:val="nl-NL"/>
        </w:rPr>
      </w:pPr>
      <w:r>
        <w:rPr>
          <w:lang w:val="nl-NL"/>
        </w:rPr>
        <w:t>aankoop pijpwerk en speeltafel van het Verweys-orgel uit de Pnielkerk Amsterdam, met de bedoeling het orgel uit te breiden met een derde klavier</w:t>
      </w:r>
    </w:p>
    <w:p>
      <w:pPr>
        <w:pStyle w:val="T1"/>
        <w:jc w:val="start"/>
        <w:rPr>
          <w:lang w:val="nl-NL"/>
        </w:rPr>
      </w:pPr>
      <w:r>
        <w:rPr>
          <w:lang w:val="nl-NL"/>
        </w:rPr>
      </w:r>
    </w:p>
    <w:p>
      <w:pPr>
        <w:pStyle w:val="T1"/>
        <w:jc w:val="start"/>
        <w:rPr>
          <w:lang w:val="nl-NL"/>
        </w:rPr>
      </w:pPr>
      <w:r>
        <w:rPr>
          <w:lang w:val="nl-NL"/>
        </w:rPr>
        <w:t>Ralf Nagelkerke 2001</w:t>
      </w:r>
    </w:p>
    <w:p>
      <w:pPr>
        <w:pStyle w:val="T1"/>
        <w:numPr>
          <w:ilvl w:val="0"/>
          <w:numId w:val="4"/>
        </w:numPr>
        <w:jc w:val="start"/>
        <w:rPr>
          <w:lang w:val="nl-NL"/>
        </w:rPr>
      </w:pPr>
      <w:r>
        <w:rPr>
          <w:lang w:val="nl-NL"/>
        </w:rPr>
        <w:t>Man II - Octaaf 2', - Terts 1 3/5', - Kwint 1 1/3', + Viola 8', + Vox Céleste 8', + Gemshoorn 2'</w:t>
      </w:r>
    </w:p>
    <w:p>
      <w:pPr>
        <w:pStyle w:val="T1"/>
        <w:numPr>
          <w:ilvl w:val="0"/>
          <w:numId w:val="4"/>
        </w:numPr>
        <w:jc w:val="start"/>
        <w:rPr>
          <w:lang w:val="nl-NL"/>
        </w:rPr>
      </w:pPr>
      <w:r>
        <w:rPr>
          <w:lang w:val="nl-NL"/>
        </w:rPr>
        <w:t>laagste twee koren Cornet (Man I) verwijderd?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7450" w:type="dxa"/>
        <w:jc w:val="start"/>
        <w:tblInd w:w="-70" w:type="dxa"/>
        <w:tblLayout w:type="fixed"/>
        <w:tblCellMar>
          <w:top w:w="0" w:type="dxa"/>
          <w:start w:w="70" w:type="dxa"/>
          <w:bottom w:w="0" w:type="dxa"/>
          <w:end w:w="70" w:type="dxa"/>
        </w:tblCellMar>
      </w:tblPr>
      <w:tblGrid>
        <w:gridCol w:w="1690"/>
        <w:gridCol w:w="720"/>
        <w:gridCol w:w="2160"/>
        <w:gridCol w:w="720"/>
        <w:gridCol w:w="1440"/>
        <w:gridCol w:w="720"/>
      </w:tblGrid>
      <w:tr>
        <w:trPr/>
        <w:tc>
          <w:tcPr>
            <w:tcW w:w="1690" w:type="dxa"/>
            <w:tcBorders/>
          </w:tcPr>
          <w:p>
            <w:pPr>
              <w:pStyle w:val="T4dispositie"/>
              <w:jc w:val="start"/>
              <w:rPr>
                <w:lang w:val="nl-NL"/>
              </w:rPr>
            </w:pPr>
            <w:r>
              <w:rPr>
                <w:i/>
                <w:iCs/>
                <w:lang w:val="nl-NL"/>
              </w:rPr>
              <w:t>Manuaal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5 st.</w:t>
            </w:r>
          </w:p>
          <w:p>
            <w:pPr>
              <w:pStyle w:val="T4dispositie"/>
              <w:jc w:val="start"/>
              <w:rPr>
                <w:lang w:val="nl-NL"/>
              </w:rPr>
            </w:pPr>
            <w:r>
              <w:rPr>
                <w:lang w:val="nl-NL"/>
              </w:rPr>
              <w:t>8'</w:t>
            </w:r>
          </w:p>
        </w:tc>
        <w:tc>
          <w:tcPr>
            <w:tcW w:w="2160" w:type="dxa"/>
            <w:tcBorders/>
          </w:tcPr>
          <w:p>
            <w:pPr>
              <w:pStyle w:val="T4dispositie"/>
              <w:jc w:val="start"/>
              <w:rPr>
                <w:lang w:val="nl-NL"/>
              </w:rPr>
            </w:pPr>
            <w:r>
              <w:rPr>
                <w:i/>
                <w:iCs/>
                <w:lang w:val="nl-NL"/>
              </w:rPr>
              <w:t>Manuaal II (in zwelkas)</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Fugara</w:t>
            </w:r>
          </w:p>
          <w:p>
            <w:pPr>
              <w:pStyle w:val="T4dispositie"/>
              <w:jc w:val="start"/>
              <w:rPr>
                <w:lang w:val="nl-NL"/>
              </w:rPr>
            </w:pPr>
            <w:r>
              <w:rPr>
                <w:lang w:val="nl-NL"/>
              </w:rPr>
              <w:t>Quintadeen</w:t>
            </w:r>
          </w:p>
          <w:p>
            <w:pPr>
              <w:pStyle w:val="T4dispositie"/>
              <w:jc w:val="start"/>
              <w:rPr>
                <w:lang w:val="nl-NL"/>
              </w:rPr>
            </w:pPr>
            <w:r>
              <w:rPr>
                <w:lang w:val="nl-NL"/>
              </w:rPr>
              <w:t>Roerfluit</w:t>
            </w:r>
          </w:p>
          <w:p>
            <w:pPr>
              <w:pStyle w:val="T4dispositie"/>
              <w:jc w:val="start"/>
              <w:rPr>
                <w:lang w:val="nl-NL"/>
              </w:rPr>
            </w:pPr>
            <w:r>
              <w:rPr>
                <w:lang w:val="nl-NL"/>
              </w:rPr>
              <w:t>Viola</w:t>
            </w:r>
          </w:p>
          <w:p>
            <w:pPr>
              <w:pStyle w:val="T4dispositie"/>
              <w:jc w:val="start"/>
              <w:rPr>
                <w:lang w:val="nl-NL"/>
              </w:rPr>
            </w:pPr>
            <w:r>
              <w:rPr>
                <w:lang w:val="nl-NL"/>
              </w:rPr>
              <w:t>Vox Céleste</w:t>
            </w:r>
          </w:p>
          <w:p>
            <w:pPr>
              <w:pStyle w:val="T4dispositie"/>
              <w:jc w:val="start"/>
              <w:rPr>
                <w:lang w:val="nl-NL"/>
              </w:rPr>
            </w:pPr>
            <w:r>
              <w:rPr>
                <w:lang w:val="nl-NL"/>
              </w:rPr>
              <w:t>Open Fluit</w:t>
            </w:r>
          </w:p>
          <w:p>
            <w:pPr>
              <w:pStyle w:val="T4dispositie"/>
              <w:jc w:val="start"/>
              <w:rPr>
                <w:lang w:val="nl-NL"/>
              </w:rPr>
            </w:pPr>
            <w:r>
              <w:rPr>
                <w:lang w:val="nl-NL"/>
              </w:rPr>
              <w:t>Gemshoorn</w:t>
            </w:r>
          </w:p>
          <w:p>
            <w:pPr>
              <w:pStyle w:val="T4dispositie"/>
              <w:jc w:val="start"/>
              <w:rPr>
                <w:lang w:val="nl-NL"/>
              </w:rPr>
            </w:pPr>
            <w:r>
              <w:rPr>
                <w:lang w:val="nl-NL"/>
              </w:rPr>
              <w:t>Basson-Hobo</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4'*</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440" w:type="dxa"/>
            <w:tcBorders/>
          </w:tcPr>
          <w:p>
            <w:pPr>
              <w:pStyle w:val="T4dispositie"/>
              <w:jc w:val="start"/>
              <w:rPr>
                <w:i/>
                <w:i/>
                <w:iCs/>
                <w:lang w:val="nl-NL"/>
              </w:rPr>
            </w:pPr>
            <w:r>
              <w:rPr>
                <w:i/>
                <w:iCs/>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Violonbas</w:t>
            </w:r>
          </w:p>
          <w:p>
            <w:pPr>
              <w:pStyle w:val="T4dispositie"/>
              <w:jc w:val="start"/>
              <w:rPr>
                <w:lang w:val="nl-NL"/>
              </w:rPr>
            </w:pPr>
            <w:r>
              <w:rPr>
                <w:lang w:val="nl-NL"/>
              </w:rPr>
              <w:t>Prestantbas</w:t>
            </w:r>
          </w:p>
          <w:p>
            <w:pPr>
              <w:pStyle w:val="T4dispositie"/>
              <w:jc w:val="start"/>
              <w:rPr>
                <w:lang w:val="nl-NL"/>
              </w:rPr>
            </w:pPr>
            <w:r>
              <w:rPr>
                <w:lang w:val="nl-NL"/>
              </w:rPr>
              <w:t>Gedekt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 in werkelijkheid Vioolprestant 8'</w:t>
      </w:r>
    </w:p>
    <w:p>
      <w:pPr>
        <w:pStyle w:val="T4dispositie"/>
        <w:rPr>
          <w:lang w:val="nl-NL"/>
        </w:rPr>
      </w:pPr>
      <w:r>
        <w:rPr>
          <w:lang w:val="nl-NL"/>
        </w:rPr>
      </w:r>
    </w:p>
    <w:p>
      <w:pPr>
        <w:pStyle w:val="T1"/>
        <w:jc w:val="start"/>
        <w:rPr>
          <w:lang w:val="nl-NL"/>
        </w:rPr>
      </w:pPr>
      <w:r>
        <w:rPr>
          <w:lang w:val="nl-NL"/>
        </w:rPr>
        <w:t>Werktuiglijke registers</w:t>
      </w:r>
    </w:p>
    <w:p>
      <w:pPr>
        <w:pStyle w:val="T1"/>
        <w:jc w:val="start"/>
        <w:rPr/>
      </w:pPr>
      <w:r>
        <w:rPr/>
        <w:t>koppelingen Man I-Man II (16-8-4), Ped-Man I, Ped-Man II, Ped super, Man II super</w:t>
      </w:r>
    </w:p>
    <w:p>
      <w:pPr>
        <w:pStyle w:val="T1"/>
        <w:jc w:val="start"/>
        <w:rPr>
          <w:lang w:val="nl-NL"/>
        </w:rPr>
      </w:pPr>
      <w:r>
        <w:rPr>
          <w:lang w:val="nl-NL"/>
        </w:rPr>
        <w:t>vaste combinaties P-MF-F-FF-Tutti</w:t>
      </w:r>
    </w:p>
    <w:p>
      <w:pPr>
        <w:pStyle w:val="T1"/>
        <w:jc w:val="start"/>
        <w:rPr>
          <w:lang w:val="nl-NL"/>
        </w:rPr>
      </w:pPr>
      <w:r>
        <w:rPr>
          <w:lang w:val="nl-NL"/>
        </w:rPr>
        <w:t>vrije combinatie</w:t>
      </w:r>
    </w:p>
    <w:p>
      <w:pPr>
        <w:pStyle w:val="T1"/>
        <w:jc w:val="start"/>
        <w:rPr>
          <w:lang w:val="nl-NL"/>
        </w:rPr>
      </w:pPr>
      <w:r>
        <w:rPr>
          <w:lang w:val="nl-NL"/>
        </w:rPr>
        <w:t>generaal crescendo</w:t>
      </w:r>
    </w:p>
    <w:p>
      <w:pPr>
        <w:pStyle w:val="T1"/>
        <w:jc w:val="start"/>
        <w:rPr>
          <w:lang w:val="nl-NL"/>
        </w:rPr>
      </w:pPr>
      <w:r>
        <w:rPr>
          <w:lang w:val="nl-NL"/>
        </w:rPr>
        <w:t>automatisch pianopedaal</w:t>
      </w:r>
    </w:p>
    <w:p>
      <w:pPr>
        <w:pStyle w:val="T1"/>
        <w:jc w:val="start"/>
        <w:rPr>
          <w:lang w:val="nl-NL"/>
        </w:rPr>
      </w:pPr>
      <w:r>
        <w:rPr>
          <w:lang w:val="nl-NL"/>
        </w:rPr>
        <w:t>afsteller tongweken</w:t>
      </w:r>
    </w:p>
    <w:p>
      <w:pPr>
        <w:pStyle w:val="T1"/>
        <w:jc w:val="start"/>
        <w:rPr>
          <w:lang w:val="nl-NL"/>
        </w:rPr>
      </w:pPr>
      <w:r>
        <w:rPr>
          <w:lang w:val="nl-NL"/>
        </w:rPr>
        <w:t>tremolo Man II</w:t>
      </w:r>
    </w:p>
    <w:p>
      <w:pPr>
        <w:pStyle w:val="T1"/>
        <w:jc w:val="start"/>
        <w:rPr>
          <w:lang w:val="nl-NL"/>
        </w:rPr>
      </w:pPr>
      <w:r>
        <w:rPr>
          <w:lang w:val="nl-NL"/>
        </w:rPr>
      </w:r>
    </w:p>
    <w:p>
      <w:pPr>
        <w:pStyle w:val="T1"/>
        <w:jc w:val="start"/>
        <w:rPr>
          <w:lang w:val="nl-NL"/>
        </w:rPr>
      </w:pPr>
      <w:r>
        <w:rPr>
          <w:lang w:val="nl-NL"/>
        </w:rPr>
        <w:t>Samenstelling vulstemmen</w:t>
      </w:r>
    </w:p>
    <w:tbl>
      <w:tblPr>
        <w:tblW w:w="3177" w:type="dxa"/>
        <w:jc w:val="start"/>
        <w:tblInd w:w="-70" w:type="dxa"/>
        <w:tblLayout w:type="fixed"/>
        <w:tblCellMar>
          <w:top w:w="0" w:type="dxa"/>
          <w:start w:w="70" w:type="dxa"/>
          <w:bottom w:w="0" w:type="dxa"/>
          <w:end w:w="70" w:type="dxa"/>
        </w:tblCellMar>
      </w:tblPr>
      <w:tblGrid>
        <w:gridCol w:w="1023"/>
        <w:gridCol w:w="718"/>
        <w:gridCol w:w="718"/>
        <w:gridCol w:w="718"/>
      </w:tblGrid>
      <w:tr>
        <w:trPr/>
        <w:tc>
          <w:tcPr>
            <w:tcW w:w="1023" w:type="dxa"/>
            <w:tcBorders/>
          </w:tcPr>
          <w:p>
            <w:pPr>
              <w:pStyle w:val="T1"/>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2 123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lang w:val="nl-NL"/>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lang w:val="nl-NL"/>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szCs w:val="24"/>
          <w:vertAlign w:val="superscript"/>
          <w:lang w:val="nl-NL"/>
        </w:rPr>
        <w:t>1</w:t>
      </w:r>
      <w:r>
        <w:rPr>
          <w:sz w:val="20"/>
          <w:lang w:val="nl-NL"/>
        </w:rPr>
        <w:t xml:space="preserve">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niet vast te stellen</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links op balkon</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Trompet 8' Man I tussen h en c</w:t>
      </w:r>
      <w:r>
        <w:rPr>
          <w:vertAlign w:val="superscript"/>
          <w:lang w:val="nl-NL"/>
        </w:rPr>
        <w:t>1</w:t>
      </w:r>
      <w:r>
        <w:rPr>
          <w:lang w:val="nl-NL"/>
        </w:rPr>
        <w:t>.</w:t>
      </w:r>
    </w:p>
    <w:p>
      <w:pPr>
        <w:pStyle w:val="T1"/>
        <w:jc w:val="start"/>
        <w:rPr>
          <w:lang w:val="nl-NL"/>
        </w:rPr>
      </w:pPr>
      <w:r>
        <w:rPr>
          <w:lang w:val="nl-NL"/>
        </w:rPr>
        <w:t>Het instrument heeft kegelladen met pneumatische speel- en registertractuur. Het grootste deel van de frontpijpen is sprekend.</w:t>
      </w:r>
    </w:p>
    <w:p>
      <w:pPr>
        <w:pStyle w:val="T1"/>
        <w:jc w:val="start"/>
        <w:rPr/>
      </w:pPr>
      <w:r>
        <w:rPr>
          <w:lang w:val="nl-NL"/>
        </w:rPr>
        <w:t>De lade van het Man I staat midden achter het front. De Bourdon 16' staat links tegen de zijwand. Behalve een deel van de Prestant 8' (front) staan de andere registers op de lade; de grootste pijp in het midden en naar weerszijden aflopend. De Trompet repeteert vanaf gis</w:t>
      </w:r>
      <w:r>
        <w:rPr>
          <w:vertAlign w:val="superscript"/>
          <w:lang w:val="nl-NL"/>
        </w:rPr>
        <w:t>2</w:t>
      </w:r>
      <w:r>
        <w:rPr>
          <w:lang w:val="nl-NL"/>
        </w:rPr>
        <w:t>. Al het pijpwerk is van Valckx &amp; Van Kouteren.</w:t>
      </w:r>
    </w:p>
    <w:p>
      <w:pPr>
        <w:pStyle w:val="T1"/>
        <w:jc w:val="start"/>
        <w:rPr/>
      </w:pPr>
      <w:r>
        <w:rPr>
          <w:lang w:val="nl-NL"/>
        </w:rPr>
        <w:t>Het ZwW staat hierachter, en heeft dezelfde ladeopstelling als Man I. De Roerfluit 8' (vanaf gis</w:t>
      </w:r>
      <w:r>
        <w:rPr>
          <w:vertAlign w:val="superscript"/>
          <w:lang w:val="nl-NL"/>
        </w:rPr>
        <w:t>2</w:t>
      </w:r>
      <w:r>
        <w:rPr>
          <w:lang w:val="nl-NL"/>
        </w:rPr>
        <w:t xml:space="preserve"> conisch), de Quintadeen 8', de Vox Céleste 8', de Open Fluit 4' en de Basson-Hobo 8' zijn van Valckx &amp; Van Kouteren. De Vioolprestant 8' is geplaatst door Adema. De Viola 8' is vanaf c van Laukhuff, geplaatst door Ralf Nagelkerke. Op de oorspronkelijk plaats van de verdwenen Solofluit staat nu de Gemshoorn 2' van het Verweys-orgel uit de Pnielkerk (Amsterdam).</w:t>
      </w:r>
    </w:p>
    <w:p>
      <w:pPr>
        <w:pStyle w:val="T1"/>
        <w:jc w:val="start"/>
        <w:rPr>
          <w:lang w:val="nl-NL"/>
        </w:rPr>
      </w:pPr>
      <w:r>
        <w:rPr>
          <w:lang w:val="nl-NL"/>
        </w:rPr>
        <w:t>Van het Ped is de Subbas 16' een transmissie van het Man I.</w:t>
      </w:r>
    </w:p>
    <w:p>
      <w:pPr>
        <w:pStyle w:val="T1"/>
        <w:jc w:val="start"/>
        <w:rPr>
          <w:lang w:val="nl-NL"/>
        </w:rPr>
      </w:pPr>
      <w:r>
        <w:rPr>
          <w:lang w:val="nl-NL"/>
        </w:rPr>
        <w:t>Bijzonder aan de registerwippers is dat bij het inschakelen een gelijkluidend naambordje zichtbaar wordt. Dit gebeurd ook bij het instellen van de vrije combinaties.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rFonts w:ascii="Symbol" w:hAnsi="Symbol" w:cs="Symbol"/>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ages>3</Pages>
  <Words>676</Words>
  <Characters>3454</Characters>
  <CharactersWithSpaces>4007</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2010-03-21T20:56:00Z</dcterms:created>
  <dc:creator>WS1</dc:creator>
  <dc:description/>
  <dc:language>en-US</dc:language>
  <cp:lastModifiedBy>NIvO</cp:lastModifiedBy>
  <dcterms:modified xsi:type="dcterms:W3CDTF">2010-03-23T20:29:00Z</dcterms:modified>
  <cp:revision>4</cp:revision>
  <dc:subject/>
  <dc:title>Zeeland / 1895</dc:title>
</cp:coreProperties>
</file>