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Leeuwarden / 1932</w:t>
      </w:r>
    </w:p>
    <w:p>
      <w:pPr>
        <w:pStyle w:val="Heading2"/>
        <w:rPr>
          <w:i w:val="false"/>
          <w:i w:val="false"/>
          <w:iCs/>
        </w:rPr>
      </w:pPr>
      <w:r>
        <w:rPr>
          <w:i w:val="false"/>
          <w:iCs/>
        </w:rPr>
        <w:t>Pelikaankerk</w:t>
      </w:r>
    </w:p>
    <w:p>
      <w:pPr>
        <w:pStyle w:val="T1"/>
        <w:jc w:val="start"/>
        <w:rPr>
          <w:i/>
          <w:i/>
          <w:iCs/>
          <w:lang w:val="nl-NL"/>
        </w:rPr>
      </w:pPr>
      <w:r>
        <w:rPr>
          <w:i/>
          <w:iCs/>
          <w:lang w:val="nl-NL"/>
        </w:rPr>
      </w:r>
    </w:p>
    <w:p>
      <w:pPr>
        <w:pStyle w:val="T1"/>
        <w:jc w:val="start"/>
        <w:rPr>
          <w:i/>
          <w:i/>
          <w:iCs/>
          <w:lang w:val="nl-NL"/>
        </w:rPr>
      </w:pPr>
      <w:r>
        <w:rPr>
          <w:i/>
          <w:iCs/>
          <w:lang w:val="nl-NL"/>
        </w:rPr>
        <w:t>Kerk uit 1932 naar ontwerp van Egbert Reitsma. Verwant aan de twee jaar oudere Reitsma-kerk te Andijk, maar minder expressionistisch. Vergeleken met Andijk zijn de bouwvolumes eenvoudiger. Wijds interieur met hoge houten kap. Gebrandschilderde vensters met symbolische voorstellingen, waaronder ook afbeeldingen van eigentijdse situaties. Bankenplan helaas verwijderd.</w:t>
      </w:r>
    </w:p>
    <w:p>
      <w:pPr>
        <w:pStyle w:val="T1"/>
        <w:jc w:val="start"/>
        <w:rPr>
          <w:i/>
          <w:i/>
          <w:iCs/>
          <w:lang w:val="nl-NL"/>
        </w:rPr>
      </w:pPr>
      <w:r>
        <w:rPr>
          <w:i/>
          <w:iCs/>
          <w:lang w:val="nl-NL"/>
        </w:rPr>
      </w:r>
    </w:p>
    <w:p>
      <w:pPr>
        <w:pStyle w:val="T1"/>
        <w:jc w:val="start"/>
        <w:rPr>
          <w:lang w:val="nl-NL"/>
        </w:rPr>
      </w:pPr>
      <w:r>
        <w:rPr>
          <w:lang w:val="nl-NL"/>
        </w:rPr>
        <w:t>Kas: 1932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Front en opstellingsidee zijn ook verwant aan de situatie in Andijk (1930), waar Egbert Reitsma eveneens kerk en orgelfront ontwierp. Boven de kansel zijn twee vloeren aangebracht, op de onderste zijn speeltafel en windvoorziening gesitueerd, op de bovenste bevinden zich windladen en pijpwerk. Het frontpijpwerk is vormgegeven in brede piramidevormige velden, dieptewerking is aangebracht door lagen achter- en boven elkaar te plaatsen. De houten elementen worden gevormd door de verlengde voorzijden van de sprekende houten pijpen, de voortzetting hiervan aan de uiterste zijkanten bestaat echter uit siermateriaal. De rij sierpijpen tegen de balustrade van het eerste vloerniveau, die in Andijk is aangebracht, is in Leeuwarden achterwege gelaten.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lang w:val="nl-NL"/>
        </w:rPr>
      </w:pPr>
      <w:r>
        <w:rPr>
          <w:rFonts w:cs="Arial" w:ascii="Arial" w:hAnsi="Arial"/>
          <w:lang w:val="nl-NL"/>
        </w:rPr>
        <w:t xml:space="preserve">Hans Fidom, </w:t>
      </w:r>
      <w:r>
        <w:rPr>
          <w:rFonts w:cs="Arial" w:ascii="Arial" w:hAnsi="Arial"/>
          <w:i/>
          <w:iCs/>
          <w:lang w:val="nl-NL"/>
        </w:rPr>
        <w:t>Miskend, verguisd &amp; afgedankt</w:t>
      </w:r>
      <w:r>
        <w:rPr>
          <w:rFonts w:cs="Arial" w:ascii="Arial" w:hAnsi="Arial"/>
          <w:lang w:val="nl-NL"/>
        </w:rPr>
        <w:t>. Zaltbommel, (2006), 88-91.</w:t>
      </w:r>
    </w:p>
    <w:p>
      <w:pPr>
        <w:pStyle w:val="T3Lit"/>
        <w:jc w:val="start"/>
        <w:rPr/>
      </w:pPr>
      <w:r>
        <w:rPr>
          <w:lang w:val="fr-FR"/>
        </w:rPr>
        <w:t xml:space="preserve">G.R. Groustra, </w:t>
      </w:r>
      <w:r>
        <w:rPr>
          <w:i/>
          <w:iCs/>
          <w:lang w:val="fr-FR"/>
        </w:rPr>
        <w:t>De Peli 1932-1982</w:t>
      </w:r>
      <w:r>
        <w:rPr>
          <w:lang w:val="fr-FR"/>
        </w:rPr>
        <w:t xml:space="preserve">. </w:t>
      </w:r>
      <w:r>
        <w:rPr>
          <w:lang w:val="nl-NL"/>
        </w:rPr>
        <w:t>Leeuwarden, (1982), 17-19.</w:t>
      </w:r>
    </w:p>
    <w:p>
      <w:pPr>
        <w:pStyle w:val="T3Lit"/>
        <w:jc w:val="start"/>
        <w:rPr/>
      </w:pPr>
      <w:r>
        <w:rPr>
          <w:i/>
          <w:iCs/>
          <w:lang w:val="nl-NL"/>
        </w:rPr>
        <w:t>De Harp</w:t>
      </w:r>
      <w:r>
        <w:rPr>
          <w:lang w:val="nl-NL"/>
        </w:rPr>
        <w:t>, 27/2 (1932), 13; 27/8 (1932), 62.</w:t>
      </w:r>
    </w:p>
    <w:p>
      <w:pPr>
        <w:pStyle w:val="T3Lit"/>
        <w:jc w:val="start"/>
        <w:rPr/>
      </w:pPr>
      <w:r>
        <w:rPr>
          <w:i/>
          <w:iCs/>
          <w:lang w:val="nl-NL"/>
        </w:rPr>
        <w:t>Het Orgel</w:t>
      </w:r>
      <w:r>
        <w:rPr>
          <w:lang w:val="nl-NL"/>
        </w:rPr>
        <w:t>, 29/9 (1932), 74; 29/11 (1932), 90.</w:t>
      </w:r>
    </w:p>
    <w:p>
      <w:pPr>
        <w:pStyle w:val="T3Lit"/>
        <w:jc w:val="start"/>
        <w:rPr/>
      </w:pPr>
      <w:r>
        <w:rPr>
          <w:i/>
          <w:iCs/>
          <w:lang w:val="nl-NL"/>
        </w:rPr>
        <w:t>De Standaard</w:t>
      </w:r>
      <w:r>
        <w:rPr>
          <w:lang w:val="nl-NL"/>
        </w:rPr>
        <w:t>, 12 augustus 1932.</w:t>
      </w:r>
    </w:p>
    <w:p>
      <w:pPr>
        <w:pStyle w:val="T3Lit"/>
        <w:rPr>
          <w:lang w:val="nl-NL"/>
        </w:rPr>
      </w:pPr>
      <w:r>
        <w:rPr>
          <w:lang w:val="nl-NL"/>
        </w:rPr>
      </w:r>
    </w:p>
    <w:p>
      <w:pPr>
        <w:pStyle w:val="T3Lit"/>
        <w:rPr>
          <w:lang w:val="nl-NL"/>
        </w:rPr>
      </w:pPr>
      <w:r>
        <w:rPr>
          <w:lang w:val="nl-NL"/>
        </w:rPr>
        <w:t>Monumentnummer 519894</w:t>
      </w:r>
    </w:p>
    <w:p>
      <w:pPr>
        <w:pStyle w:val="T3Lit"/>
        <w:rPr>
          <w:lang w:val="nl-NL"/>
        </w:rPr>
      </w:pPr>
      <w:r>
        <w:rPr>
          <w:lang w:val="nl-NL"/>
        </w:rPr>
        <w:t>Orgelnummer 2115</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Valckx &amp; Van Kouteren &amp; Co</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1932</w:t>
      </w:r>
    </w:p>
    <w:p>
      <w:pPr>
        <w:pStyle w:val="T1"/>
        <w:jc w:val="start"/>
        <w:rPr>
          <w:lang w:val="nl-NL"/>
        </w:rPr>
      </w:pPr>
      <w:r>
        <w:rPr>
          <w:lang w:val="nl-NL"/>
        </w:rPr>
      </w:r>
    </w:p>
    <w:p>
      <w:pPr>
        <w:pStyle w:val="T1"/>
        <w:jc w:val="start"/>
        <w:rPr>
          <w:lang w:val="nl-NL"/>
        </w:rPr>
      </w:pPr>
      <w:r>
        <w:rPr>
          <w:lang w:val="nl-NL"/>
        </w:rPr>
        <w:t>Valckx &amp; Van Kouteren &amp; Co., onbekend moment</w:t>
      </w:r>
    </w:p>
    <w:p>
      <w:pPr>
        <w:pStyle w:val="T1"/>
        <w:numPr>
          <w:ilvl w:val="0"/>
          <w:numId w:val="2"/>
        </w:numPr>
        <w:jc w:val="start"/>
        <w:rPr/>
      </w:pPr>
      <w:r>
        <w:rPr/>
        <w:t>Man II - Voix Celeste 8', + Woudfluit 2'</w:t>
      </w:r>
    </w:p>
    <w:p>
      <w:pPr>
        <w:pStyle w:val="T1"/>
        <w:jc w:val="start"/>
        <w:rPr/>
      </w:pPr>
      <w:r>
        <w:rPr/>
      </w:r>
    </w:p>
    <w:p>
      <w:pPr>
        <w:pStyle w:val="T1"/>
        <w:jc w:val="start"/>
        <w:rPr>
          <w:lang w:val="nl-NL"/>
        </w:rPr>
      </w:pPr>
      <w:r>
        <w:rPr>
          <w:lang w:val="nl-NL"/>
        </w:rPr>
        <w:t>Orgelmakerij Bakker &amp; Timmenga 1993</w:t>
      </w:r>
    </w:p>
    <w:p>
      <w:pPr>
        <w:pStyle w:val="T1"/>
        <w:numPr>
          <w:ilvl w:val="0"/>
          <w:numId w:val="2"/>
        </w:numPr>
        <w:jc w:val="start"/>
        <w:rPr>
          <w:lang w:val="nl-NL"/>
        </w:rPr>
      </w:pPr>
      <w:r>
        <w:rPr>
          <w:lang w:val="nl-NL"/>
        </w:rPr>
        <w:t>orgel schoongemaakt</w:t>
      </w:r>
    </w:p>
    <w:p>
      <w:pPr>
        <w:pStyle w:val="T1"/>
        <w:numPr>
          <w:ilvl w:val="0"/>
          <w:numId w:val="2"/>
        </w:numPr>
        <w:jc w:val="start"/>
        <w:rPr>
          <w:lang w:val="nl-NL"/>
        </w:rPr>
      </w:pPr>
      <w:r>
        <w:rPr>
          <w:lang w:val="nl-NL"/>
        </w:rPr>
        <w:t>membranen vervangen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7270" w:type="dxa"/>
        <w:jc w:val="start"/>
        <w:tblInd w:w="-70" w:type="dxa"/>
        <w:tblLayout w:type="fixed"/>
        <w:tblCellMar>
          <w:top w:w="0" w:type="dxa"/>
          <w:start w:w="70" w:type="dxa"/>
          <w:bottom w:w="0" w:type="dxa"/>
          <w:end w:w="70" w:type="dxa"/>
        </w:tblCellMar>
      </w:tblPr>
      <w:tblGrid>
        <w:gridCol w:w="1690"/>
        <w:gridCol w:w="720"/>
        <w:gridCol w:w="2160"/>
        <w:gridCol w:w="745"/>
        <w:gridCol w:w="1415"/>
        <w:gridCol w:w="540"/>
      </w:tblGrid>
      <w:tr>
        <w:trPr/>
        <w:tc>
          <w:tcPr>
            <w:tcW w:w="1690" w:type="dxa"/>
            <w:tcBorders/>
          </w:tcPr>
          <w:p>
            <w:pPr>
              <w:pStyle w:val="T4dispositie"/>
              <w:jc w:val="start"/>
              <w:rPr>
                <w:lang w:val="nl-NL"/>
              </w:rPr>
            </w:pPr>
            <w:r>
              <w:rPr>
                <w:i/>
                <w:iCs/>
                <w:lang w:val="nl-NL"/>
              </w:rPr>
              <w:t>Manuaal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 xml:space="preserve">Flûte harmonique </w:t>
            </w:r>
          </w:p>
          <w:p>
            <w:pPr>
              <w:pStyle w:val="T4dispositie"/>
              <w:jc w:val="start"/>
              <w:rPr>
                <w:lang w:val="nl-NL"/>
              </w:rPr>
            </w:pPr>
            <w:r>
              <w:rPr>
                <w:lang w:val="nl-NL"/>
              </w:rPr>
              <w:t>Octaaf</w:t>
            </w:r>
          </w:p>
          <w:p>
            <w:pPr>
              <w:pStyle w:val="T4dispositie"/>
              <w:jc w:val="start"/>
              <w:rPr>
                <w:lang w:val="nl-NL"/>
              </w:rPr>
            </w:pPr>
            <w:r>
              <w:rPr>
                <w:lang w:val="nl-NL"/>
              </w:rPr>
              <w:t>Octaaf</w:t>
            </w:r>
          </w:p>
          <w:p>
            <w:pPr>
              <w:pStyle w:val="T4dispositie"/>
              <w:jc w:val="start"/>
              <w:rPr>
                <w:lang w:val="nl-NL"/>
              </w:rPr>
            </w:pPr>
            <w:r>
              <w:rPr>
                <w:lang w:val="nl-NL"/>
              </w:rPr>
              <w:t>Mixtuur-Cornet</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8'</w:t>
            </w:r>
          </w:p>
          <w:p>
            <w:pPr>
              <w:pStyle w:val="T4dispositie"/>
              <w:jc w:val="start"/>
              <w:rPr>
                <w:lang w:val="nl-NL"/>
              </w:rPr>
            </w:pPr>
            <w:r>
              <w:rPr>
                <w:lang w:val="nl-NL"/>
              </w:rPr>
              <w:t>2</w:t>
            </w:r>
            <w:r>
              <w:rPr/>
              <w:t>'</w:t>
            </w:r>
          </w:p>
          <w:p>
            <w:pPr>
              <w:pStyle w:val="T4dispositie"/>
              <w:jc w:val="start"/>
              <w:rPr>
                <w:lang w:val="nl-NL"/>
              </w:rPr>
            </w:pPr>
            <w:r>
              <w:rPr>
                <w:lang w:val="nl-NL"/>
              </w:rPr>
              <w:t>3-5 st.</w:t>
            </w:r>
          </w:p>
          <w:p>
            <w:pPr>
              <w:pStyle w:val="T4dispositie"/>
              <w:jc w:val="start"/>
              <w:rPr>
                <w:lang w:val="nl-NL"/>
              </w:rPr>
            </w:pPr>
            <w:r>
              <w:rPr>
                <w:lang w:val="nl-NL"/>
              </w:rPr>
              <w:t>8'</w:t>
            </w:r>
          </w:p>
        </w:tc>
        <w:tc>
          <w:tcPr>
            <w:tcW w:w="2160" w:type="dxa"/>
            <w:tcBorders/>
          </w:tcPr>
          <w:p>
            <w:pPr>
              <w:pStyle w:val="T4dispositie"/>
              <w:jc w:val="start"/>
              <w:rPr>
                <w:lang w:val="nl-NL"/>
              </w:rPr>
            </w:pPr>
            <w:r>
              <w:rPr>
                <w:i/>
                <w:iCs/>
                <w:lang w:val="nl-NL"/>
              </w:rPr>
              <w:t>Manuaal II (in zwelkast)</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Vioolprestant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Openluit</w:t>
            </w:r>
          </w:p>
          <w:p>
            <w:pPr>
              <w:pStyle w:val="T4dispositie"/>
              <w:jc w:val="start"/>
              <w:rPr>
                <w:lang w:val="nl-NL"/>
              </w:rPr>
            </w:pPr>
            <w:r>
              <w:rPr>
                <w:lang w:val="nl-NL"/>
              </w:rPr>
              <w:t>Woudfluit</w:t>
            </w:r>
          </w:p>
          <w:p>
            <w:pPr>
              <w:pStyle w:val="T4dispositie"/>
              <w:jc w:val="start"/>
              <w:rPr>
                <w:lang w:val="nl-NL"/>
              </w:rPr>
            </w:pPr>
            <w:r>
              <w:rPr>
                <w:lang w:val="nl-NL"/>
              </w:rPr>
              <w:t>Sesquialter</w:t>
            </w:r>
          </w:p>
          <w:p>
            <w:pPr>
              <w:pStyle w:val="T4dispositie"/>
              <w:jc w:val="start"/>
              <w:rPr>
                <w:lang w:val="nl-NL"/>
              </w:rPr>
            </w:pPr>
            <w:r>
              <w:rPr>
                <w:lang w:val="nl-NL"/>
              </w:rPr>
              <w:t>Basson-Hobo</w:t>
            </w:r>
          </w:p>
        </w:tc>
        <w:tc>
          <w:tcPr>
            <w:tcW w:w="74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8'</w:t>
            </w:r>
          </w:p>
        </w:tc>
        <w:tc>
          <w:tcPr>
            <w:tcW w:w="1415" w:type="dxa"/>
            <w:tcBorders/>
          </w:tcPr>
          <w:p>
            <w:pPr>
              <w:pStyle w:val="T4dispositie"/>
              <w:jc w:val="start"/>
              <w:rPr>
                <w:i/>
                <w:i/>
                <w:iCs/>
                <w:lang w:val="nl-NL"/>
              </w:rPr>
            </w:pPr>
            <w:r>
              <w:rPr>
                <w:i/>
                <w:iCs/>
                <w:lang w:val="nl-NL"/>
              </w:rPr>
              <w:t>Pedaal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Zachtgedekt</w:t>
            </w:r>
          </w:p>
          <w:p>
            <w:pPr>
              <w:pStyle w:val="T4dispositie"/>
              <w:jc w:val="start"/>
              <w:rPr>
                <w:lang w:val="nl-NL"/>
              </w:rPr>
            </w:pPr>
            <w:r>
              <w:rPr>
                <w:lang w:val="nl-NL"/>
              </w:rPr>
              <w:t>Fluitbas</w:t>
            </w:r>
          </w:p>
          <w:p>
            <w:pPr>
              <w:pStyle w:val="T4dispositie"/>
              <w:jc w:val="start"/>
              <w:rPr>
                <w:lang w:val="nl-NL"/>
              </w:rPr>
            </w:pPr>
            <w:r>
              <w:rPr>
                <w:lang w:val="nl-NL"/>
              </w:rPr>
              <w:t>Cello</w:t>
            </w:r>
          </w:p>
          <w:p>
            <w:pPr>
              <w:pStyle w:val="T4dispositie"/>
              <w:jc w:val="start"/>
              <w:rPr>
                <w:lang w:val="nl-NL"/>
              </w:rPr>
            </w:pPr>
            <w:r>
              <w:rPr>
                <w:lang w:val="nl-NL"/>
              </w:rPr>
              <w:t>Fagot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 tr</w:t>
            </w:r>
          </w:p>
          <w:p>
            <w:pPr>
              <w:pStyle w:val="T4dispositie"/>
              <w:jc w:val="start"/>
              <w:rPr/>
            </w:pPr>
            <w:r>
              <w:rPr>
                <w:lang w:val="nl-NL"/>
              </w:rPr>
              <w:t>8</w:t>
            </w:r>
            <w:r>
              <w:rPr/>
              <w:t>'</w:t>
            </w:r>
            <w:r>
              <w:rPr>
                <w:lang w:val="nl-NL"/>
              </w:rPr>
              <w:t xml:space="preserve"> tr</w:t>
            </w:r>
          </w:p>
          <w:p>
            <w:pPr>
              <w:pStyle w:val="T4dispositie"/>
              <w:jc w:val="start"/>
              <w:rPr>
                <w:lang w:val="nl-NL"/>
              </w:rPr>
            </w:pPr>
            <w:r>
              <w:rPr>
                <w:lang w:val="nl-NL"/>
              </w:rPr>
              <w:t>8</w:t>
            </w:r>
            <w:r>
              <w:rPr/>
              <w:t>'</w:t>
            </w:r>
          </w:p>
          <w:p>
            <w:pPr>
              <w:pStyle w:val="T4dispositie"/>
              <w:jc w:val="start"/>
              <w:rPr>
                <w:lang w:val="nl-NL"/>
              </w:rPr>
            </w:pPr>
            <w:r>
              <w:rPr>
                <w:lang w:val="nl-NL"/>
              </w:rPr>
              <w:t>16</w:t>
            </w:r>
            <w:r>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Ped-I, Ped-II, sup.oct.I, sup.oct.II, sub oct. I-II, sup.oct.I-II, sup. Oct. ped.tTremolo</w:t>
      </w:r>
    </w:p>
    <w:p>
      <w:pPr>
        <w:pStyle w:val="T1"/>
        <w:jc w:val="start"/>
        <w:rPr>
          <w:lang w:val="nl-NL"/>
        </w:rPr>
      </w:pPr>
      <w:r>
        <w:rPr>
          <w:lang w:val="nl-NL"/>
        </w:rPr>
        <w:t>Generaal Register Crescendo</w:t>
      </w:r>
    </w:p>
    <w:p>
      <w:pPr>
        <w:pStyle w:val="T1"/>
        <w:jc w:val="start"/>
        <w:rPr>
          <w:lang w:val="nl-NL"/>
        </w:rPr>
      </w:pPr>
      <w:r>
        <w:rPr>
          <w:lang w:val="nl-NL"/>
        </w:rPr>
        <w:t>1 vrije combinatie, vaste combinaties PP P MF F FF T</w:t>
      </w:r>
    </w:p>
    <w:p>
      <w:pPr>
        <w:pStyle w:val="T1"/>
        <w:jc w:val="start"/>
        <w:rPr>
          <w:lang w:val="nl-NL"/>
        </w:rPr>
      </w:pPr>
      <w:r>
        <w:rPr>
          <w:lang w:val="nl-NL"/>
        </w:rPr>
        <w:t>automatisch pianopedaal</w:t>
      </w:r>
    </w:p>
    <w:p>
      <w:pPr>
        <w:pStyle w:val="T1"/>
        <w:jc w:val="start"/>
        <w:rPr>
          <w:lang w:val="nl-NL"/>
        </w:rPr>
      </w:pPr>
      <w:r>
        <w:rPr>
          <w:lang w:val="nl-NL"/>
        </w:rPr>
        <w:t>tongwerken af</w:t>
      </w:r>
    </w:p>
    <w:p>
      <w:pPr>
        <w:pStyle w:val="T1"/>
        <w:jc w:val="start"/>
        <w:rPr>
          <w:lang w:val="nl-NL"/>
        </w:rPr>
      </w:pPr>
      <w:r>
        <w:rPr>
          <w:lang w:val="nl-NL"/>
        </w:rPr>
      </w:r>
    </w:p>
    <w:p>
      <w:pPr>
        <w:pStyle w:val="T1"/>
        <w:jc w:val="start"/>
        <w:rPr/>
      </w:pPr>
      <w:r>
        <w:rPr/>
        <w:t>Samenstelling vulstemmen</w:t>
      </w:r>
    </w:p>
    <w:tbl>
      <w:tblPr>
        <w:tblW w:w="3613" w:type="dxa"/>
        <w:jc w:val="start"/>
        <w:tblInd w:w="-70" w:type="dxa"/>
        <w:tblLayout w:type="fixed"/>
        <w:tblCellMar>
          <w:top w:w="0" w:type="dxa"/>
          <w:start w:w="70" w:type="dxa"/>
          <w:bottom w:w="0" w:type="dxa"/>
          <w:end w:w="70" w:type="dxa"/>
        </w:tblCellMar>
      </w:tblPr>
      <w:tblGrid>
        <w:gridCol w:w="2357"/>
        <w:gridCol w:w="628"/>
        <w:gridCol w:w="628"/>
      </w:tblGrid>
      <w:tr>
        <w:trPr/>
        <w:tc>
          <w:tcPr>
            <w:tcW w:w="2357" w:type="dxa"/>
            <w:tcBorders/>
          </w:tcPr>
          <w:p>
            <w:pPr>
              <w:pStyle w:val="T1"/>
              <w:jc w:val="start"/>
              <w:rPr/>
            </w:pPr>
            <w:r>
              <w:rPr/>
              <w:t>Mixtuur-Cornet Man I</w:t>
            </w:r>
          </w:p>
        </w:tc>
        <w:tc>
          <w:tcPr>
            <w:tcW w:w="62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28"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tbl>
      <w:tblPr>
        <w:tblW w:w="2618" w:type="dxa"/>
        <w:jc w:val="start"/>
        <w:tblInd w:w="-70" w:type="dxa"/>
        <w:tblLayout w:type="fixed"/>
        <w:tblCellMar>
          <w:top w:w="0" w:type="dxa"/>
          <w:start w:w="70" w:type="dxa"/>
          <w:bottom w:w="0" w:type="dxa"/>
          <w:end w:w="70" w:type="dxa"/>
        </w:tblCellMar>
      </w:tblPr>
      <w:tblGrid>
        <w:gridCol w:w="1990"/>
        <w:gridCol w:w="628"/>
      </w:tblGrid>
      <w:tr>
        <w:trPr/>
        <w:tc>
          <w:tcPr>
            <w:tcW w:w="1990" w:type="dxa"/>
            <w:tcBorders/>
          </w:tcPr>
          <w:p>
            <w:pPr>
              <w:pStyle w:val="T1"/>
              <w:jc w:val="start"/>
              <w:rPr>
                <w:lang w:val="nl-NL"/>
              </w:rPr>
            </w:pPr>
            <w:r>
              <w:rPr>
                <w:lang w:val="nl-NL"/>
              </w:rPr>
              <w:t>Sesquialter Man II</w:t>
            </w:r>
          </w:p>
        </w:tc>
        <w:tc>
          <w:tcPr>
            <w:tcW w:w="62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regulateurs</w:t>
      </w:r>
    </w:p>
    <w:p>
      <w:pPr>
        <w:pStyle w:val="T1"/>
        <w:jc w:val="start"/>
        <w:rPr>
          <w:lang w:val="nl-NL"/>
        </w:rPr>
      </w:pPr>
      <w:r>
        <w:rPr>
          <w:lang w:val="nl-NL"/>
        </w:rPr>
        <w:t>Winddruk</w:t>
      </w:r>
    </w:p>
    <w:p>
      <w:pPr>
        <w:pStyle w:val="T1"/>
        <w:jc w:val="start"/>
        <w:rPr>
          <w:lang w:val="nl-NL"/>
        </w:rPr>
      </w:pPr>
      <w:r>
        <w:rPr>
          <w:lang w:val="nl-NL"/>
        </w:rPr>
        <w:t>Man I en Ped 95 mm; Man II 100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op eerste vloer boven de kansel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bezit kegelladen en pneumatische tractuur.</w:t>
      </w:r>
    </w:p>
    <w:p>
      <w:pPr>
        <w:pStyle w:val="T1"/>
        <w:jc w:val="start"/>
        <w:rPr>
          <w:lang w:val="nl-NL"/>
        </w:rPr>
      </w:pPr>
      <w:r>
        <w:rPr>
          <w:lang w:val="nl-NL"/>
        </w:rPr>
        <w:t>De frontpijpen zijn van zink. In het front spreken C-e¹ van de Prestant 8' en wellicht ook enige pijpen van de Flûte harmonique. De kleinere frontpijpen zijn stom.</w:t>
      </w:r>
    </w:p>
    <w:p>
      <w:pPr>
        <w:pStyle w:val="T1"/>
        <w:jc w:val="start"/>
        <w:rPr>
          <w:lang w:val="nl-NL"/>
        </w:rPr>
      </w:pPr>
      <w:r>
        <w:rPr>
          <w:lang w:val="nl-NL"/>
        </w:rPr>
        <w:t>De pedaalladen liggen direct achter het front. Alle Subbaspijpen fungeren als frontpijpen, op de lade staan voorts de Cello en de Fagot. De beide transmissies zijn afgeleid van respectievelijk de Bourdon 16' en de Flûte harmonique 8' Man I.</w:t>
      </w:r>
    </w:p>
    <w:p>
      <w:pPr>
        <w:pStyle w:val="T1"/>
        <w:jc w:val="start"/>
        <w:rPr>
          <w:lang w:val="nl-NL"/>
        </w:rPr>
      </w:pPr>
      <w:r>
        <w:rPr>
          <w:lang w:val="nl-NL"/>
        </w:rPr>
        <w:t>De manuaalladen hebben een chromatisch verloop. De Man I-lade ligt links achter het front, de Man II-lade rechts. Bij beide laden loopt het pijpwerk vanuit het midden af naar de zijkanten van de orgelruimte, samen dus in overeenstemming met de frontarchitectuur.</w:t>
      </w:r>
    </w:p>
    <w:p>
      <w:pPr>
        <w:pStyle w:val="T1"/>
        <w:jc w:val="start"/>
        <w:rPr/>
      </w:pPr>
      <w:r>
        <w:rPr>
          <w:lang w:val="nl-NL"/>
        </w:rPr>
        <w:t>Houten pijpen worden aangetroffen in de Bourdon 16' (C-f</w:t>
      </w:r>
      <w:r>
        <w:rPr>
          <w:vertAlign w:val="superscript"/>
          <w:lang w:val="nl-NL"/>
        </w:rPr>
        <w:t>1</w:t>
      </w:r>
      <w:r>
        <w:rPr>
          <w:lang w:val="nl-NL"/>
        </w:rPr>
        <w:t>) en de Roerfluit 8'  (C-H) Man I, in de Holpijp 8' Man II (C-H) en in de Subbas 16' Ped. Alle houten pijpen zijn van naaldhout, de opsneden zijn doorgaans in gebogen vorm uitgevoerd.</w:t>
      </w:r>
    </w:p>
    <w:p>
      <w:pPr>
        <w:pStyle w:val="T1"/>
        <w:jc w:val="start"/>
        <w:rPr>
          <w:lang w:val="nl-NL"/>
        </w:rPr>
      </w:pPr>
      <w:r>
        <w:rPr>
          <w:lang w:val="nl-NL"/>
        </w:rPr>
        <w:t>Zinken binnenpijpen zijn te vinden in de Viola di Gamba 8' (C-H) en de Vioolprestant 8' (C-f).</w:t>
      </w:r>
    </w:p>
    <w:p>
      <w:pPr>
        <w:pStyle w:val="T1"/>
        <w:jc w:val="start"/>
        <w:rPr/>
      </w:pPr>
      <w:r>
        <w:rPr>
          <w:lang w:val="nl-NL"/>
        </w:rPr>
        <w:t>De Flûte harmonique is overblazend vanaf c</w:t>
      </w:r>
      <w:r>
        <w:rPr>
          <w:vertAlign w:val="superscript"/>
          <w:lang w:val="nl-NL"/>
        </w:rPr>
        <w:t>2</w:t>
      </w:r>
      <w:r>
        <w:rPr>
          <w:lang w:val="nl-NL"/>
        </w:rPr>
        <w:t>. De Holpijp 8' heeft open conische pijpen vanaf c</w:t>
      </w:r>
      <w:r>
        <w:rPr>
          <w:vertAlign w:val="superscript"/>
          <w:lang w:val="nl-NL"/>
        </w:rPr>
        <w:t>3</w:t>
      </w:r>
      <w:r>
        <w:rPr>
          <w:lang w:val="nl-NL"/>
        </w:rPr>
        <w:t>.</w:t>
      </w:r>
    </w:p>
    <w:p>
      <w:pPr>
        <w:pStyle w:val="T1"/>
        <w:jc w:val="start"/>
        <w:rPr>
          <w:lang w:val="nl-NL"/>
        </w:rPr>
      </w:pPr>
      <w:r>
        <w:rPr>
          <w:lang w:val="nl-NL"/>
        </w:rPr>
        <w:t>Al het labiale binnenpijpwerk heeft geperste labia. Expressions zijn toegepast tot 1/4-voets lengte. De manuaaltongwerken hebben metalen stevels en koppen. De Basson-hobo heeft gedekte bekers, die in het groot octaaf van zink zijn.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LibreOffice/7.2.1.2$MacOSX_X86_64 LibreOffice_project/87b77fad49947c1441b67c559c339af8f3517e22</Application>
  <AppVersion>15.0000</AppVersion>
  <Pages>3</Pages>
  <Words>640</Words>
  <Characters>3545</Characters>
  <CharactersWithSpaces>4064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2010-03-21T21:26:00Z</dcterms:created>
  <dc:creator>WS1</dc:creator>
  <dc:description/>
  <dc:language>en-US</dc:language>
  <cp:lastModifiedBy>NIvO</cp:lastModifiedBy>
  <dcterms:modified xsi:type="dcterms:W3CDTF">2010-03-23T20:33:00Z</dcterms:modified>
  <cp:revision>5</cp:revision>
  <dc:subject/>
  <dc:title>Heumen / ca 1860</dc:title>
</cp:coreProperties>
</file>