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Utrecht / 1932</w:t>
      </w:r>
    </w:p>
    <w:p>
      <w:pPr>
        <w:pStyle w:val="Heading2"/>
        <w:tabs>
          <w:tab w:val="clear" w:pos="708"/>
          <w:tab w:val="left" w:pos="0" w:leader="none"/>
        </w:tabs>
        <w:ind w:start="0" w:end="0" w:hanging="0"/>
        <w:rPr>
          <w:i w:val="false"/>
          <w:i w:val="false"/>
          <w:iCs/>
        </w:rPr>
      </w:pPr>
      <w:r>
        <w:rPr>
          <w:i w:val="false"/>
          <w:iCs/>
        </w:rPr>
        <w:t>Wilhelminakerk</w:t>
      </w:r>
    </w:p>
    <w:p>
      <w:pPr>
        <w:pStyle w:val="T1"/>
        <w:jc w:val="start"/>
        <w:rPr>
          <w:i/>
          <w:i/>
          <w:iCs/>
        </w:rPr>
      </w:pPr>
      <w:r>
        <w:rPr>
          <w:i/>
          <w:iCs/>
        </w:rPr>
      </w:r>
    </w:p>
    <w:p>
      <w:pPr>
        <w:pStyle w:val="T1"/>
        <w:jc w:val="start"/>
        <w:rPr>
          <w:i/>
          <w:i/>
          <w:iCs/>
          <w:lang w:val="nl-NL"/>
        </w:rPr>
      </w:pPr>
      <w:r>
        <w:rPr>
          <w:i/>
          <w:iCs/>
          <w:lang w:val="nl-NL"/>
        </w:rPr>
        <w:t>Kerkgebouw uit 1931 met een ruitvormig grondplan en een daktoren. Interieur in de jaren 1970 vernieuwd.</w:t>
      </w:r>
    </w:p>
    <w:p>
      <w:pPr>
        <w:pStyle w:val="T1"/>
        <w:jc w:val="start"/>
        <w:rPr>
          <w:i/>
          <w:i/>
          <w:iCs/>
          <w:lang w:val="nl-NL"/>
        </w:rPr>
      </w:pPr>
      <w:r>
        <w:rPr>
          <w:i/>
          <w:iCs/>
          <w:lang w:val="nl-NL"/>
        </w:rPr>
      </w:r>
    </w:p>
    <w:p>
      <w:pPr>
        <w:pStyle w:val="T1"/>
        <w:jc w:val="start"/>
        <w:rPr>
          <w:lang w:val="nl-NL"/>
        </w:rPr>
      </w:pPr>
      <w:r>
        <w:rPr>
          <w:lang w:val="nl-NL"/>
        </w:rPr>
        <w:t>Kas: 1932</w:t>
      </w:r>
    </w:p>
    <w:p>
      <w:pPr>
        <w:pStyle w:val="T1"/>
        <w:jc w:val="start"/>
        <w:rPr>
          <w:szCs w:val="24"/>
          <w:lang w:val="nl-NL"/>
        </w:rPr>
      </w:pPr>
      <w:r>
        <w:rPr>
          <w:szCs w:val="24"/>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pPr>
      <w:r>
        <w:rPr/>
        <w:t xml:space="preserve">Een uiterst sober gelaagd front, waarin de invloed van de Amsterdamse School herkenbaar is. </w:t>
      </w:r>
      <w:r>
        <w:rPr>
          <w:lang w:val="nl-NL"/>
        </w:rPr>
        <w:t xml:space="preserve">Het orgel zelf is daarachter opgesteld in een kamer, met een grote opening in de voorwand. </w:t>
      </w:r>
      <w:r>
        <w:rPr/>
        <w:t>Het front bestaat in feite geheel uit frontpijpen. Behoudens zeven 'buizen' in het midden van de achterste laag frontpijpen (achter de voorste laag), betreft het 'echte' orgelpijpen. De achterste laag verloopt aan de bovenzijde piramidaal, de labia tonen een rechte horizontale lijn. De bovenlijn van de voorste laag heeft een opwaartse welving vanuit de zijkanten naar het midden toe. De labia lopen hier vanaf de zijkanten in een schuine lijn opwaarts naar het midden.</w:t>
      </w:r>
    </w:p>
    <w:p>
      <w:pPr>
        <w:pStyle w:val="T2Kunst"/>
        <w:jc w:val="start"/>
        <w:rPr/>
      </w:pPr>
      <w:r>
        <w:rPr/>
      </w:r>
    </w:p>
    <w:p>
      <w:pPr>
        <w:pStyle w:val="T3Lit"/>
        <w:jc w:val="start"/>
        <w:rPr/>
      </w:pPr>
      <w:r>
        <w:rPr/>
        <w:t>Literatuur</w:t>
      </w:r>
    </w:p>
    <w:p>
      <w:pPr>
        <w:pStyle w:val="T3Lit"/>
        <w:jc w:val="start"/>
        <w:rPr/>
      </w:pPr>
      <w:r>
        <w:rPr>
          <w:b w:val="false"/>
          <w:bCs w:val="false"/>
          <w:i/>
          <w:iCs/>
        </w:rPr>
        <w:t>Het Orgel</w:t>
      </w:r>
      <w:r>
        <w:rPr>
          <w:b w:val="false"/>
          <w:bCs w:val="false"/>
        </w:rPr>
        <w:t>, 28/8 (05-1931), 57.</w:t>
      </w:r>
    </w:p>
    <w:p>
      <w:pPr>
        <w:pStyle w:val="T3Lit"/>
        <w:jc w:val="start"/>
        <w:rPr/>
      </w:pPr>
      <w:r>
        <w:rPr>
          <w:b w:val="false"/>
          <w:bCs w:val="false"/>
          <w:i/>
          <w:iCs/>
        </w:rPr>
        <w:t>Het Orgel</w:t>
      </w:r>
      <w:r>
        <w:rPr>
          <w:b w:val="false"/>
          <w:bCs w:val="false"/>
        </w:rPr>
        <w:t>, 29/6 (03-1932), 47.</w:t>
      </w:r>
    </w:p>
    <w:p>
      <w:pPr>
        <w:pStyle w:val="T3Lit"/>
        <w:jc w:val="start"/>
        <w:rPr/>
      </w:pPr>
      <w:r>
        <w:rPr>
          <w:b w:val="false"/>
          <w:bCs w:val="false"/>
        </w:rPr>
        <w:t xml:space="preserve">Peter van Dijk en Gert Oost, </w:t>
      </w:r>
      <w:r>
        <w:rPr>
          <w:b w:val="false"/>
          <w:bCs w:val="false"/>
          <w:i/>
          <w:iCs/>
        </w:rPr>
        <w:t>Utrecht, orgelstad</w:t>
      </w:r>
      <w:r>
        <w:rPr>
          <w:b w:val="false"/>
          <w:bCs w:val="false"/>
        </w:rPr>
        <w:t>. Utrecht, 1981, nr 54.</w:t>
      </w:r>
    </w:p>
    <w:p>
      <w:pPr>
        <w:pStyle w:val="T3Lit"/>
        <w:jc w:val="start"/>
        <w:rPr/>
      </w:pPr>
      <w:r>
        <w:rPr>
          <w:b w:val="false"/>
          <w:bCs w:val="false"/>
        </w:rPr>
        <w:t xml:space="preserve">Peter van Dijk en Ronald Doornekamp, </w:t>
      </w:r>
      <w:r>
        <w:rPr>
          <w:b w:val="false"/>
          <w:bCs w:val="false"/>
          <w:i/>
          <w:iCs/>
        </w:rPr>
        <w:t>Orgels in de stad Utrecht</w:t>
      </w:r>
      <w:r>
        <w:rPr>
          <w:b w:val="false"/>
          <w:bCs w:val="false"/>
        </w:rPr>
        <w:t>. Utrecht 1992, 33, 44, 45, 91.</w:t>
      </w:r>
    </w:p>
    <w:p>
      <w:pPr>
        <w:pStyle w:val="T3Lit"/>
        <w:jc w:val="start"/>
        <w:rPr/>
      </w:pPr>
      <w:r>
        <w:rPr>
          <w:b w:val="false"/>
          <w:bCs w:val="false"/>
        </w:rPr>
        <w:t xml:space="preserve">Peter van Dijk, </w:t>
      </w:r>
      <w:r>
        <w:rPr>
          <w:b w:val="false"/>
          <w:bCs w:val="false"/>
          <w:i/>
          <w:iCs/>
        </w:rPr>
        <w:t>Orgelbau in Utrecht zwischen 1930 und 1940</w:t>
      </w:r>
      <w:r>
        <w:rPr>
          <w:b w:val="false"/>
          <w:bCs w:val="false"/>
        </w:rPr>
        <w:t xml:space="preserve">. In: Philipp Klais (ed.), </w:t>
      </w:r>
      <w:r>
        <w:rPr>
          <w:b w:val="false"/>
          <w:bCs w:val="false"/>
          <w:i/>
          <w:iCs/>
        </w:rPr>
        <w:t>Beiträgezur Geschichte und Ästhetik der Orgel. Band II</w:t>
      </w:r>
      <w:r>
        <w:rPr>
          <w:b w:val="false"/>
          <w:bCs w:val="false"/>
        </w:rPr>
        <w:t>. Freiburg (Breisgau), 2001, 178,179.</w:t>
      </w:r>
    </w:p>
    <w:p>
      <w:pPr>
        <w:pStyle w:val="T3Lit"/>
        <w:jc w:val="start"/>
        <w:rPr>
          <w:b w:val="false"/>
          <w:b w:val="false"/>
          <w:bCs w:val="false"/>
        </w:rPr>
      </w:pPr>
      <w:r>
        <w:rPr>
          <w:b w:val="false"/>
          <w:bCs w:val="false"/>
        </w:rPr>
      </w:r>
    </w:p>
    <w:p>
      <w:pPr>
        <w:pStyle w:val="T3Lit"/>
        <w:jc w:val="start"/>
        <w:rPr/>
      </w:pPr>
      <w:r>
        <w:rPr/>
        <w:t>Niet gepubliceerde bron</w:t>
      </w:r>
    </w:p>
    <w:p>
      <w:pPr>
        <w:pStyle w:val="T3Lit"/>
        <w:jc w:val="start"/>
        <w:rPr>
          <w:b w:val="false"/>
          <w:b w:val="false"/>
          <w:bCs w:val="false"/>
          <w:szCs w:val="24"/>
        </w:rPr>
      </w:pPr>
      <w:r>
        <w:rPr>
          <w:b w:val="false"/>
          <w:bCs w:val="false"/>
          <w:szCs w:val="24"/>
        </w:rPr>
        <w:t>Orgelarchief Peter van Dijk.</w:t>
      </w:r>
    </w:p>
    <w:p>
      <w:pPr>
        <w:pStyle w:val="T3Lit"/>
        <w:rPr>
          <w:b w:val="false"/>
          <w:b w:val="false"/>
          <w:bCs w:val="false"/>
          <w:szCs w:val="24"/>
        </w:rPr>
      </w:pPr>
      <w:r>
        <w:rPr>
          <w:b w:val="false"/>
          <w:bCs w:val="false"/>
          <w:szCs w:val="24"/>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de Koff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1932</w:t>
      </w:r>
    </w:p>
    <w:p>
      <w:pPr>
        <w:pStyle w:val="T1"/>
        <w:jc w:val="start"/>
        <w:rPr>
          <w:lang w:val="nl-NL"/>
        </w:rPr>
      </w:pPr>
      <w:r>
        <w:rPr>
          <w:lang w:val="nl-NL"/>
        </w:rPr>
      </w:r>
    </w:p>
    <w:p>
      <w:pPr>
        <w:pStyle w:val="T1"/>
        <w:jc w:val="start"/>
        <w:rPr>
          <w:lang w:val="nl-NL"/>
        </w:rPr>
      </w:pPr>
      <w:r>
        <w:rPr>
          <w:lang w:val="nl-NL"/>
        </w:rPr>
        <w:t>J. de Koff &amp; Zn 1946</w:t>
      </w:r>
    </w:p>
    <w:p>
      <w:pPr>
        <w:pStyle w:val="T1"/>
        <w:numPr>
          <w:ilvl w:val="0"/>
          <w:numId w:val="2"/>
        </w:numPr>
        <w:jc w:val="start"/>
        <w:rPr>
          <w:lang w:val="en-GB"/>
        </w:rPr>
      </w:pPr>
      <w:r>
        <w:rPr>
          <w:lang w:val="en-GB"/>
        </w:rPr>
        <w:t>Ped + Bazuin 16</w:t>
      </w:r>
      <w:r>
        <w:rPr/>
        <w:t>'</w:t>
      </w:r>
    </w:p>
    <w:p>
      <w:pPr>
        <w:pStyle w:val="T1"/>
        <w:jc w:val="start"/>
        <w:rPr>
          <w:lang w:val="en-GB"/>
        </w:rPr>
      </w:pPr>
      <w:r>
        <w:rPr>
          <w:lang w:val="en-GB"/>
        </w:rPr>
      </w:r>
    </w:p>
    <w:p>
      <w:pPr>
        <w:pStyle w:val="T1"/>
        <w:jc w:val="start"/>
        <w:rPr>
          <w:lang w:val="nl-NL"/>
        </w:rPr>
      </w:pPr>
      <w:r>
        <w:rPr>
          <w:lang w:val="nl-NL"/>
        </w:rPr>
        <w:t>Nico van Duren 2000</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snapToGrid w:val="false"/>
              <w:rPr>
                <w:i/>
                <w:i/>
                <w:iCs/>
                <w:lang w:val="nl-NL"/>
              </w:rPr>
            </w:pPr>
            <w:r>
              <w:rPr>
                <w:i/>
                <w:iCs/>
                <w:lang w:val="nl-NL"/>
              </w:rPr>
              <w:t>Hoofdwerk (I)</w:t>
            </w:r>
          </w:p>
          <w:p>
            <w:pPr>
              <w:pStyle w:val="T4dispositie"/>
              <w:rPr>
                <w:lang w:val="fr-FR"/>
              </w:rPr>
            </w:pPr>
            <w:r>
              <w:rPr>
                <w:lang w:val="fr-FR"/>
              </w:rPr>
              <w:t>9 stemmen</w:t>
            </w:r>
          </w:p>
          <w:p>
            <w:pPr>
              <w:pStyle w:val="T4dispositie"/>
              <w:rPr>
                <w:lang w:val="fr-FR"/>
              </w:rPr>
            </w:pPr>
            <w:r>
              <w:rPr>
                <w:lang w:val="fr-FR"/>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Violon</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en-GB"/>
              </w:rPr>
            </w:pPr>
            <w:r>
              <w:rPr>
                <w:lang w:val="en-GB"/>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3-4 st.</w:t>
            </w:r>
          </w:p>
          <w:p>
            <w:pPr>
              <w:pStyle w:val="T4dispositie"/>
              <w:rPr>
                <w:lang w:val="nl-NL"/>
              </w:rPr>
            </w:pPr>
            <w:r>
              <w:rPr>
                <w:lang w:val="nl-NL"/>
              </w:rPr>
              <w:t>4-5 st.</w:t>
            </w:r>
          </w:p>
          <w:p>
            <w:pPr>
              <w:pStyle w:val="T4dispositie"/>
              <w:rPr>
                <w:lang w:val="nl-NL"/>
              </w:rPr>
            </w:pPr>
            <w:r>
              <w:rPr>
                <w:lang w:val="nl-NL"/>
              </w:rPr>
              <w:t>8'</w:t>
            </w:r>
          </w:p>
        </w:tc>
        <w:tc>
          <w:tcPr>
            <w:tcW w:w="1440" w:type="dxa"/>
            <w:tcBorders/>
          </w:tcPr>
          <w:p>
            <w:pPr>
              <w:pStyle w:val="T4dispositie"/>
              <w:snapToGrid w:val="false"/>
              <w:rPr>
                <w:i/>
                <w:i/>
                <w:lang w:val="nl-NL"/>
              </w:rPr>
            </w:pPr>
            <w:r>
              <w:rPr>
                <w:i/>
                <w:lang w:val="nl-NL"/>
              </w:rPr>
              <w:t>Zwelwerk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Syntematofon</w:t>
            </w:r>
          </w:p>
          <w:p>
            <w:pPr>
              <w:pStyle w:val="T4dispositie"/>
              <w:rPr>
                <w:lang w:val="nl-NL"/>
              </w:rPr>
            </w:pPr>
            <w:r>
              <w:rPr>
                <w:lang w:val="nl-NL"/>
              </w:rPr>
              <w:t>Viola di Gamba</w:t>
            </w:r>
          </w:p>
          <w:p>
            <w:pPr>
              <w:pStyle w:val="T4dispositie"/>
              <w:rPr>
                <w:lang w:val="nl-NL"/>
              </w:rPr>
            </w:pPr>
            <w:r>
              <w:rPr>
                <w:lang w:val="nl-NL"/>
              </w:rPr>
              <w:t>Vox Céleste</w:t>
            </w:r>
          </w:p>
          <w:p>
            <w:pPr>
              <w:pStyle w:val="T4dispositie"/>
              <w:rPr>
                <w:lang w:val="nl-NL"/>
              </w:rPr>
            </w:pPr>
            <w:r>
              <w:rPr>
                <w:lang w:val="nl-NL"/>
              </w:rPr>
              <w:t>Orkestfluit</w:t>
            </w:r>
          </w:p>
          <w:p>
            <w:pPr>
              <w:pStyle w:val="T4dispositie"/>
              <w:rPr>
                <w:lang w:val="nl-NL"/>
              </w:rPr>
            </w:pPr>
            <w:r>
              <w:rPr>
                <w:lang w:val="nl-NL"/>
              </w:rPr>
              <w:t>Nachthoorn</w:t>
            </w:r>
          </w:p>
          <w:p>
            <w:pPr>
              <w:pStyle w:val="T4dispositie"/>
              <w:rPr>
                <w:lang w:val="nl-NL"/>
              </w:rPr>
            </w:pPr>
            <w:r>
              <w:rPr>
                <w:lang w:val="nl-NL"/>
              </w:rPr>
              <w:t>Kromhoorn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snapToGrid w:val="false"/>
              <w:rPr>
                <w:i/>
                <w:i/>
                <w:lang w:val="nl-NL"/>
              </w:rPr>
            </w:pPr>
            <w:r>
              <w:rPr>
                <w:i/>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Fluitbas</w:t>
            </w:r>
          </w:p>
          <w:p>
            <w:pPr>
              <w:pStyle w:val="T4dispositie"/>
              <w:rPr>
                <w:lang w:val="nl-NL"/>
              </w:rPr>
            </w:pPr>
            <w:r>
              <w:rPr>
                <w:lang w:val="nl-NL"/>
              </w:rPr>
              <w:t>Bazuin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koppelingen HW-ZwW, Ped-HW, Ped-ZwW, Superoctaaf HW-ZwW, Suboctaaf HW-ZwW, Suboctaaf HW</w:t>
      </w:r>
    </w:p>
    <w:p>
      <w:pPr>
        <w:pStyle w:val="T1"/>
        <w:rPr>
          <w:szCs w:val="24"/>
          <w:lang w:val="nl-NL"/>
        </w:rPr>
      </w:pPr>
      <w:r>
        <w:rPr>
          <w:szCs w:val="24"/>
          <w:lang w:val="nl-NL"/>
        </w:rPr>
        <w:t>tremolo ZwW</w:t>
      </w:r>
    </w:p>
    <w:p>
      <w:pPr>
        <w:pStyle w:val="T1"/>
        <w:rPr>
          <w:szCs w:val="24"/>
          <w:lang w:val="nl-NL"/>
        </w:rPr>
      </w:pPr>
      <w:r>
        <w:rPr>
          <w:szCs w:val="24"/>
          <w:lang w:val="nl-NL"/>
        </w:rPr>
        <w:t>vaste combinaties P-MF-F-Pl[eno]-T[utti]</w:t>
      </w:r>
    </w:p>
    <w:p>
      <w:pPr>
        <w:pStyle w:val="T1"/>
        <w:rPr>
          <w:szCs w:val="24"/>
          <w:lang w:val="nl-NL"/>
        </w:rPr>
      </w:pPr>
      <w:r>
        <w:rPr>
          <w:szCs w:val="24"/>
          <w:lang w:val="nl-NL"/>
        </w:rPr>
        <w:t>één vrije combinatie</w:t>
      </w:r>
    </w:p>
    <w:p>
      <w:pPr>
        <w:pStyle w:val="T1"/>
        <w:rPr>
          <w:szCs w:val="24"/>
          <w:lang w:val="nl-NL"/>
        </w:rPr>
      </w:pPr>
      <w:r>
        <w:rPr>
          <w:szCs w:val="24"/>
          <w:lang w:val="nl-NL"/>
        </w:rPr>
        <w:t>Aut. Ped.</w:t>
      </w:r>
    </w:p>
    <w:p>
      <w:pPr>
        <w:pStyle w:val="T1"/>
        <w:rPr>
          <w:szCs w:val="24"/>
          <w:lang w:val="nl-NL"/>
        </w:rPr>
      </w:pPr>
      <w:r>
        <w:rPr>
          <w:szCs w:val="24"/>
          <w:lang w:val="nl-NL"/>
        </w:rPr>
      </w:r>
    </w:p>
    <w:p>
      <w:pPr>
        <w:pStyle w:val="T1"/>
        <w:rPr>
          <w:szCs w:val="24"/>
          <w:lang w:val="nl-NL"/>
        </w:rPr>
      </w:pPr>
      <w:r>
        <w:rPr>
          <w:szCs w:val="24"/>
          <w:lang w:val="nl-NL"/>
        </w:rPr>
        <w:t>Samenstelling vulstemmen</w:t>
      </w:r>
    </w:p>
    <w:tbl>
      <w:tblPr>
        <w:tblW w:w="4646" w:type="dxa"/>
        <w:jc w:val="start"/>
        <w:tblInd w:w="-70" w:type="dxa"/>
        <w:tblLayout w:type="fixed"/>
        <w:tblCellMar>
          <w:top w:w="0" w:type="dxa"/>
          <w:start w:w="70" w:type="dxa"/>
          <w:bottom w:w="0" w:type="dxa"/>
          <w:end w:w="70" w:type="dxa"/>
        </w:tblCellMar>
      </w:tblPr>
      <w:tblGrid>
        <w:gridCol w:w="1023"/>
        <w:gridCol w:w="718"/>
        <w:gridCol w:w="729"/>
        <w:gridCol w:w="729"/>
        <w:gridCol w:w="718"/>
        <w:gridCol w:w="729"/>
      </w:tblGrid>
      <w:tr>
        <w:trPr/>
        <w:tc>
          <w:tcPr>
            <w:tcW w:w="1023" w:type="dxa"/>
            <w:tcBorders/>
          </w:tcPr>
          <w:p>
            <w:pPr>
              <w:pStyle w:val="T1"/>
              <w:rPr>
                <w:szCs w:val="24"/>
                <w:lang w:val="nl-NL"/>
              </w:rPr>
            </w:pPr>
            <w:r>
              <w:rPr>
                <w:szCs w:val="24"/>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p>
            <w:pPr>
              <w:pStyle w:val="T4dispositie"/>
              <w:rPr/>
            </w:pPr>
            <w:r>
              <w:rPr/>
              <w:t>2 2/3</w:t>
            </w:r>
          </w:p>
        </w:tc>
      </w:tr>
    </w:tbl>
    <w:p>
      <w:pPr>
        <w:pStyle w:val="T1"/>
        <w:rPr>
          <w:szCs w:val="24"/>
          <w:lang w:val="nl-NL"/>
        </w:rPr>
      </w:pPr>
      <w:r>
        <w:rPr>
          <w:szCs w:val="24"/>
          <w:lang w:val="nl-NL"/>
        </w:rPr>
      </w:r>
    </w:p>
    <w:tbl>
      <w:tblPr>
        <w:tblW w:w="2481" w:type="dxa"/>
        <w:jc w:val="start"/>
        <w:tblInd w:w="-70" w:type="dxa"/>
        <w:tblLayout w:type="fixed"/>
        <w:tblCellMar>
          <w:top w:w="0" w:type="dxa"/>
          <w:start w:w="70" w:type="dxa"/>
          <w:bottom w:w="0" w:type="dxa"/>
          <w:end w:w="70" w:type="dxa"/>
        </w:tblCellMar>
      </w:tblPr>
      <w:tblGrid>
        <w:gridCol w:w="1023"/>
        <w:gridCol w:w="729"/>
        <w:gridCol w:w="729"/>
      </w:tblGrid>
      <w:tr>
        <w:trPr/>
        <w:tc>
          <w:tcPr>
            <w:tcW w:w="1023" w:type="dxa"/>
            <w:tcBorders/>
          </w:tcPr>
          <w:p>
            <w:pPr>
              <w:pStyle w:val="T1"/>
              <w:rPr>
                <w:szCs w:val="24"/>
                <w:lang w:val="nl-NL"/>
              </w:rPr>
            </w:pPr>
            <w:r>
              <w:rPr>
                <w:szCs w:val="24"/>
                <w:lang w:val="nl-NL"/>
              </w:rPr>
              <w:t>Cornet</w:t>
            </w:r>
          </w:p>
        </w:tc>
        <w:tc>
          <w:tcPr>
            <w:tcW w:w="729"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rPr>
          <w:szCs w:val="24"/>
        </w:rPr>
      </w:pPr>
      <w:r>
        <w:rPr>
          <w:szCs w:val="24"/>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gelijkzwevend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C-g</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C-f</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dubbelvouwige magazijnbalg met twee schepbalgen, enkelvouwige regulateurbalg ZwW (1932)</w:t>
      </w:r>
    </w:p>
    <w:p>
      <w:pPr>
        <w:pStyle w:val="T1"/>
        <w:rPr>
          <w:szCs w:val="24"/>
          <w:lang w:val="nl-NL"/>
        </w:rPr>
      </w:pPr>
      <w:r>
        <w:rPr>
          <w:szCs w:val="24"/>
          <w:lang w:val="nl-NL"/>
        </w:rPr>
        <w:t>Winddruk</w:t>
      </w:r>
    </w:p>
    <w:p>
      <w:pPr>
        <w:pStyle w:val="T1"/>
        <w:rPr>
          <w:szCs w:val="24"/>
          <w:lang w:val="nl-NL"/>
        </w:rPr>
      </w:pPr>
      <w:r>
        <w:rPr>
          <w:szCs w:val="24"/>
          <w:lang w:val="nl-NL"/>
        </w:rPr>
        <w:t>..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vrijstaande speeltafel aan de linkerzijde</w:t>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front bestaat geheel uit zinken pijpen. Het betreft C-d van de Prestant 8' (HW) en de gehele Octaafbas 8' (Ped).</w:t>
      </w:r>
    </w:p>
    <w:p>
      <w:pPr>
        <w:pStyle w:val="T1"/>
        <w:jc w:val="start"/>
        <w:rPr>
          <w:lang w:val="nl-NL"/>
        </w:rPr>
      </w:pPr>
      <w:r>
        <w:rPr>
          <w:lang w:val="nl-NL"/>
        </w:rPr>
        <w:t>Pneumatische tracturen (wisselwind), kegelladen met membraanlatten. De Tremolo (ZwW) is uitgevoerd als dubbelslag-tremulant.</w:t>
      </w:r>
    </w:p>
    <w:p>
      <w:pPr>
        <w:pStyle w:val="T1"/>
        <w:jc w:val="start"/>
        <w:rPr/>
      </w:pPr>
      <w:r>
        <w:rPr>
          <w:lang w:val="nl-NL"/>
        </w:rPr>
        <w:t>Het HW heeft twee chromatische laden (C-f en fis-g</w:t>
      </w:r>
      <w:r>
        <w:rPr>
          <w:vertAlign w:val="superscript"/>
          <w:lang w:val="nl-NL"/>
        </w:rPr>
        <w:t>4</w:t>
      </w:r>
      <w:r>
        <w:rPr>
          <w:lang w:val="nl-NL"/>
        </w:rPr>
        <w:t>) die direct achter het front staan opgesteld; de Cornet is op een verhoogde bank geplaatst. Het ZwW heeft twee chromatische laden met dezelfde verdeling en staat tegen de achterwand van de orgelkamer. Van het Ped staat de Subbas 16' tegen de (schuine) rechterzijwand van de orgelkamer, chromatisch in twee rijen opgesteld; de Bazuin 16' is, eveneens in twee rijen daarboven geplaatst; er is een aparte chromatische lade links onder voorin de orgelkamer voor de Octaafbas 8' en de Fluitbas 8'.</w:t>
      </w:r>
    </w:p>
    <w:p>
      <w:pPr>
        <w:pStyle w:val="T1"/>
        <w:jc w:val="start"/>
        <w:rPr/>
      </w:pPr>
      <w:r>
        <w:rPr>
          <w:lang w:val="nl-NL"/>
        </w:rPr>
        <w:t>Houten, gedekt labiaalpijpwerk: HW Bourdon 16' (C-c</w:t>
      </w:r>
      <w:r>
        <w:rPr>
          <w:vertAlign w:val="superscript"/>
          <w:lang w:val="nl-NL"/>
        </w:rPr>
        <w:t>1</w:t>
      </w:r>
      <w:r>
        <w:rPr>
          <w:lang w:val="nl-NL"/>
        </w:rPr>
        <w:t>) en Roerfluit 8' (C-H), ZwW Holpijp 8' (C-H), Ped Subbas 16' en Fluitbas 8'. Zinken labiaalpijpwerk: HW Prestant 8' (C-d) en Violon 8' (C-H); ZwW Quintadeen 8' (C-H), Syntematofon 8' (C-h) en Viola di Gamba 8' (C-H); Ped Octaafbas 8'. Het overige labiaalpijpwerk is van orgelmetaal.</w:t>
      </w:r>
    </w:p>
    <w:p>
      <w:pPr>
        <w:pStyle w:val="T1"/>
        <w:jc w:val="start"/>
        <w:rPr/>
      </w:pPr>
      <w:r>
        <w:rPr>
          <w:lang w:val="nl-NL"/>
        </w:rPr>
        <w:t>Van de Cornet (HW) is het acht-voets koor gedekt, de overige koren zijn open cilindrisch. De Quintadeen 8' (ZwW) heeft van C-h</w:t>
      </w:r>
      <w:r>
        <w:rPr>
          <w:vertAlign w:val="superscript"/>
          <w:lang w:val="nl-NL"/>
        </w:rPr>
        <w:t>1</w:t>
      </w:r>
      <w:r>
        <w:rPr>
          <w:lang w:val="nl-NL"/>
        </w:rPr>
        <w:t xml:space="preserve"> (metalen) hoeden en verder houten stoppen. De Syntematofon 8' (ZwW) is een cilindrische open fluit met een labium aan de voorzijde en aan de achterzijde, de Vox Céleste 8' (ZwW) begint op c. De Orkestfluit 4' (ZwW) is cilindrisch open en vanaf c</w:t>
      </w:r>
      <w:r>
        <w:rPr>
          <w:vertAlign w:val="superscript"/>
          <w:lang w:val="nl-NL"/>
        </w:rPr>
        <w:t>1</w:t>
      </w:r>
      <w:r>
        <w:rPr>
          <w:lang w:val="nl-NL"/>
        </w:rPr>
        <w:t xml:space="preserve"> overblazend. De Nachthoorn 2' (ZwW) is open cilindrisch.</w:t>
      </w:r>
    </w:p>
    <w:p>
      <w:pPr>
        <w:pStyle w:val="T1"/>
        <w:jc w:val="start"/>
        <w:rPr/>
      </w:pPr>
      <w:r>
        <w:rPr>
          <w:lang w:val="nl-NL"/>
        </w:rPr>
        <w:t>Van de tongwerken heeft de Trompet 8' (HW) metalen stevels en loden koppen, van C-f zinken bekers, het vervolg heeft metalen bekers. De Kromhoorn 8' (ZwW) heeft metalen stevels, loden koppen en metalen bekers. De (niet-originele) Bazuin 16' (Ped) heeft houten stevels, metalen koppen en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en-GB"/>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ages>3</Pages>
  <Words>698</Words>
  <Characters>3655</Characters>
  <CharactersWithSpaces>4212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2010-03-21T21:41:00Z</dcterms:created>
  <dc:creator>WS1</dc:creator>
  <dc:description/>
  <dc:language>en-US</dc:language>
  <cp:lastModifiedBy>Hans</cp:lastModifiedBy>
  <cp:lastPrinted>2113-01-01T23:00:00Z</cp:lastPrinted>
  <dcterms:modified xsi:type="dcterms:W3CDTF">2010-03-21T21:41:00Z</dcterms:modified>
  <cp:revision>2</cp:revision>
  <dc:subject/>
  <dc:title>Olst / 1880</dc:title>
</cp:coreProperties>
</file>