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Pernis / 1939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rFonts w:ascii="Times" w:hAnsi="Times" w:cs="Times"/>
          <w:i/>
          <w:i/>
          <w:iCs/>
          <w:lang w:val="nl-NL"/>
        </w:rPr>
      </w:pPr>
      <w:r>
        <w:rPr>
          <w:rFonts w:cs="Times" w:ascii="Times" w:hAnsi="Times"/>
          <w:i/>
          <w:iCs/>
          <w:lang w:val="nl-NL"/>
        </w:rPr>
        <w:t>Zaalkerk met kruisvormige plattegrond naar ontwerp van B. Hooykaas uit 1926, gebouwd ter vervanging van een oudere kerk. Centaal overwelfd middenruim, drie kruisarmen voorzien van galerijen. Liturgisch centrum met kansel, kerkenraadsbanken, wetsborden en smeedijzeren doopvont alsmede bankenplan en glas-in-loodramen uit de bouwtijd. Toren uit de tweede helft van de 15e eeuw met twee geledingen en korte vierkante spits, luidklok uit 1672 gegoten door Pieter Ostens.</w:t>
      </w:r>
    </w:p>
    <w:p>
      <w:pPr>
        <w:pStyle w:val="T1"/>
        <w:jc w:val="start"/>
        <w:rPr>
          <w:rFonts w:ascii="Times" w:hAnsi="Times" w:cs="Times"/>
          <w:i/>
          <w:i/>
          <w:iCs/>
          <w:lang w:val="nl-NL"/>
        </w:rPr>
      </w:pPr>
      <w:r>
        <w:rPr>
          <w:rFonts w:cs="Times" w:ascii="Times" w:hAnsi="Times"/>
          <w:i/>
          <w:iCs/>
          <w:lang w:val="nl-NL"/>
        </w:rPr>
      </w:r>
    </w:p>
    <w:p>
      <w:pPr>
        <w:pStyle w:val="T1"/>
        <w:jc w:val="start"/>
        <w:rPr>
          <w:lang w:val="nl-NL"/>
        </w:rPr>
      </w:pPr>
      <w:r>
        <w:rPr>
          <w:lang w:val="nl-NL"/>
        </w:rPr>
        <w:t>Kas: 1939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Dit orgelfront in geheel open opstelling voor een rasterwerk dat de achterliggende orgelruimte van de kerk afscheidt werd ontworpen door het architectenbureau B. Hooykaas &amp; B. van Veen, nadat een eerder frontontwerp van de architecten Van Bergen en Van Veen met schuine pijpopstelling werd afgewezen. De levendigheid van het ontwerp wordt in belangrijke mate bepaald door de sterk naar voren springende gewelfde plattegrond met een sterke overhoekse werking, rustend op houten stijlen in het verlengde van de buitenzijde van het binnenste pijpenveld. De beide voorste pijpenrijen bevatten de Octaafbas 8</w:t>
      </w:r>
      <w:r>
        <w:rPr>
          <w:rFonts w:cs="Times New Roman" w:ascii="Times New Roman" w:hAnsi="Times New Roman"/>
          <w:lang w:val="nl-NL"/>
        </w:rPr>
        <w:t>'</w:t>
      </w:r>
      <w:r>
        <w:rPr>
          <w:lang w:val="nl-NL"/>
        </w:rPr>
        <w:t xml:space="preserve"> en geheel aan weerszijden de Koraalbas 4</w:t>
      </w:r>
      <w:r>
        <w:rPr>
          <w:rFonts w:cs="Times New Roman" w:ascii="Times New Roman" w:hAnsi="Times New Roman"/>
          <w:lang w:val="nl-NL"/>
        </w:rPr>
        <w:t>'</w:t>
      </w:r>
      <w:r>
        <w:rPr>
          <w:lang w:val="nl-NL"/>
        </w:rPr>
        <w:t xml:space="preserve"> van het pedaal. Door de opstelling van juist de grootste pijplengten in tertsen ontstaat een min of meer paraboolvormige contourwerking, waarbij het steilteverloop de oplopende diametermensuren volgt. De oplopende labiumlijnen zijn in tegenbeweging met de gewelfde paneellijsten daaronder. Het middenrond met flankerende ronden en aansluitende buitenste pijpen bevat de bas van de HW Prestant 8</w:t>
      </w:r>
      <w:r>
        <w:rPr>
          <w:rFonts w:cs="Times New Roman" w:ascii="Times New Roman" w:hAnsi="Times New Roman"/>
          <w:lang w:val="nl-NL"/>
        </w:rPr>
        <w:t>'</w:t>
      </w:r>
      <w:r>
        <w:rPr>
          <w:lang w:val="nl-NL"/>
        </w:rPr>
        <w:t>. Het middenrond wordt geaccentueerd door een iets verhoogde labiumlijn en een tertsopstelling van de tweemaal zes pijpen in de flankerende ronden daarnaast. Een centraal geplaatst gewelfd schild met Christusmonogram verbindt het middenrond van het orgelfront met de iets oudere kansel in expressionistische vormentaal.</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t xml:space="preserve">Bart van Buitenen, ‘De orgels van de Hervormde gemeente in Pernis’. </w:t>
      </w:r>
      <w:r>
        <w:rPr>
          <w:i/>
        </w:rPr>
        <w:t>De Orgelvriend</w:t>
      </w:r>
      <w:r>
        <w:rPr/>
        <w:t>, 47/4 (2005), 2-10.</w:t>
      </w:r>
    </w:p>
    <w:p>
      <w:pPr>
        <w:pStyle w:val="T3Lit"/>
        <w:rPr/>
      </w:pPr>
      <w:r>
        <w:rPr>
          <w:i/>
        </w:rPr>
        <w:t>Nieuwe Rotterdamsche Courant</w:t>
      </w:r>
      <w:r>
        <w:rPr/>
        <w:t>, 27 juli 1939</w:t>
      </w:r>
    </w:p>
    <w:p>
      <w:pPr>
        <w:pStyle w:val="T3Lit"/>
        <w:rPr>
          <w:sz w:val="24"/>
          <w:lang w:val="nl-NL"/>
        </w:rPr>
      </w:pPr>
      <w:r>
        <w:rPr>
          <w:i/>
          <w:lang w:val="nl-NL"/>
        </w:rPr>
        <w:t>De Rotterdammer</w:t>
      </w:r>
      <w:r>
        <w:rPr>
          <w:lang w:val="nl-NL"/>
        </w:rPr>
        <w:t>, 31 juli 1939.</w:t>
      </w:r>
    </w:p>
    <w:p>
      <w:pPr>
        <w:pStyle w:val="T3Lit"/>
        <w:jc w:val="start"/>
        <w:rPr>
          <w:sz w:val="24"/>
          <w:lang w:val="nl-NL"/>
        </w:rPr>
      </w:pPr>
      <w:r>
        <w:rPr>
          <w:sz w:val="24"/>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Leeuwen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1939</w:t>
      </w:r>
    </w:p>
    <w:p>
      <w:pPr>
        <w:pStyle w:val="T1"/>
        <w:jc w:val="start"/>
        <w:rPr>
          <w:lang w:val="nl-NL"/>
        </w:rPr>
      </w:pPr>
      <w:r>
        <w:rPr>
          <w:lang w:val="nl-NL"/>
        </w:rPr>
      </w:r>
    </w:p>
    <w:p>
      <w:pPr>
        <w:pStyle w:val="T1"/>
        <w:jc w:val="start"/>
        <w:rPr>
          <w:lang w:val="nl-NL"/>
        </w:rPr>
      </w:pPr>
      <w:r>
        <w:rPr>
          <w:lang w:val="nl-NL"/>
        </w:rPr>
        <w:t>H.B. Scheuerman, onbekend moment</w:t>
      </w:r>
    </w:p>
    <w:p>
      <w:pPr>
        <w:pStyle w:val="T1"/>
        <w:numPr>
          <w:ilvl w:val="0"/>
          <w:numId w:val="2"/>
        </w:numPr>
        <w:jc w:val="start"/>
        <w:rPr>
          <w:lang w:val="nl-NL"/>
        </w:rPr>
      </w:pPr>
      <w:r>
        <w:rPr>
          <w:lang w:val="nl-NL"/>
        </w:rPr>
        <w:t>pijpwerk Dubbelfluit 8' vanaf c vervangen door Roerfluit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475"/>
        <w:gridCol w:w="766"/>
        <w:gridCol w:w="1609"/>
        <w:gridCol w:w="720"/>
        <w:gridCol w:w="1260"/>
        <w:gridCol w:w="720"/>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Praestant</w:t>
            </w:r>
          </w:p>
          <w:p>
            <w:pPr>
              <w:pStyle w:val="T4dispositie"/>
              <w:rPr>
                <w:lang w:val="nl-NL"/>
              </w:rPr>
            </w:pPr>
            <w:r>
              <w:rPr>
                <w:lang w:val="nl-NL"/>
              </w:rPr>
              <w:t>Dubbelfluit*</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Quintpraestant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Mixtuur</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3-4 st.</w:t>
            </w:r>
          </w:p>
          <w:p>
            <w:pPr>
              <w:pStyle w:val="T4dispositie"/>
              <w:rPr>
                <w:lang w:val="nl-NL"/>
              </w:rPr>
            </w:pPr>
            <w:r>
              <w:rPr>
                <w:lang w:val="nl-NL"/>
              </w:rPr>
              <w:t>8</w:t>
            </w:r>
            <w:r>
              <w:rPr/>
              <w:t>'</w:t>
            </w:r>
          </w:p>
        </w:tc>
        <w:tc>
          <w:tcPr>
            <w:tcW w:w="1609" w:type="dxa"/>
            <w:tcBorders/>
          </w:tcPr>
          <w:p>
            <w:pPr>
              <w:pStyle w:val="T4dispositie"/>
              <w:rPr>
                <w:i/>
                <w:i/>
                <w:iCs/>
                <w:lang w:val="nl-NL"/>
              </w:rPr>
            </w:pPr>
            <w:r>
              <w:rPr>
                <w:i/>
                <w:iCs/>
                <w:lang w:val="nl-NL"/>
              </w:rPr>
              <w:t>Zwelwerk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Hoornpraestant</w:t>
            </w:r>
          </w:p>
          <w:p>
            <w:pPr>
              <w:pStyle w:val="T4dispositie"/>
              <w:rPr>
                <w:lang w:val="nl-NL"/>
              </w:rPr>
            </w:pPr>
            <w:r>
              <w:rPr>
                <w:lang w:val="nl-NL"/>
              </w:rPr>
              <w:t>Baarpijp</w:t>
            </w:r>
          </w:p>
          <w:p>
            <w:pPr>
              <w:pStyle w:val="T4dispositie"/>
              <w:rPr>
                <w:lang w:val="nl-NL"/>
              </w:rPr>
            </w:pPr>
            <w:r>
              <w:rPr>
                <w:lang w:val="nl-NL"/>
              </w:rPr>
              <w:t>Quintadena</w:t>
            </w:r>
          </w:p>
          <w:p>
            <w:pPr>
              <w:pStyle w:val="T4dispositie"/>
              <w:rPr>
                <w:lang w:val="nl-NL"/>
              </w:rPr>
            </w:pPr>
            <w:r>
              <w:rPr>
                <w:lang w:val="nl-NL"/>
              </w:rPr>
              <w:t>Viola di Gamba</w:t>
            </w:r>
          </w:p>
          <w:p>
            <w:pPr>
              <w:pStyle w:val="T4dispositie"/>
              <w:rPr>
                <w:lang w:val="nl-NL"/>
              </w:rPr>
            </w:pPr>
            <w:r>
              <w:rPr>
                <w:lang w:val="nl-NL"/>
              </w:rPr>
              <w:t>Voix céleste</w:t>
            </w:r>
          </w:p>
          <w:p>
            <w:pPr>
              <w:pStyle w:val="T4dispositie"/>
              <w:rPr>
                <w:lang w:val="nl-NL"/>
              </w:rPr>
            </w:pPr>
            <w:r>
              <w:rPr>
                <w:lang w:val="nl-NL"/>
              </w:rPr>
              <w:t>Praestant</w:t>
            </w:r>
          </w:p>
          <w:p>
            <w:pPr>
              <w:pStyle w:val="T4dispositie"/>
              <w:rPr>
                <w:lang w:val="nl-NL"/>
              </w:rPr>
            </w:pPr>
            <w:r>
              <w:rPr>
                <w:lang w:val="nl-NL"/>
              </w:rPr>
              <w:t>Openfluit</w:t>
            </w:r>
          </w:p>
          <w:p>
            <w:pPr>
              <w:pStyle w:val="T4dispositie"/>
              <w:rPr>
                <w:lang w:val="nl-NL"/>
              </w:rPr>
            </w:pPr>
            <w:r>
              <w:rPr>
                <w:lang w:val="nl-NL"/>
              </w:rPr>
              <w:t>Nasard</w:t>
            </w:r>
          </w:p>
          <w:p>
            <w:pPr>
              <w:pStyle w:val="T4dispositie"/>
              <w:rPr>
                <w:lang w:val="nl-NL"/>
              </w:rPr>
            </w:pPr>
            <w:r>
              <w:rPr>
                <w:lang w:val="nl-NL"/>
              </w:rPr>
              <w:t>Gemshoorn</w:t>
            </w:r>
          </w:p>
          <w:p>
            <w:pPr>
              <w:pStyle w:val="T4dispositie"/>
              <w:rPr>
                <w:lang w:val="nl-NL"/>
              </w:rPr>
            </w:pPr>
            <w:r>
              <w:rPr>
                <w:lang w:val="nl-NL"/>
              </w:rPr>
              <w:t>Terts</w:t>
            </w:r>
          </w:p>
          <w:p>
            <w:pPr>
              <w:pStyle w:val="T4dispositie"/>
              <w:rPr>
                <w:lang w:val="nl-NL"/>
              </w:rPr>
            </w:pPr>
            <w:r>
              <w:rPr>
                <w:lang w:val="nl-NL"/>
              </w:rPr>
              <w:t>Schalmey</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Zachte bas</w:t>
            </w:r>
          </w:p>
          <w:p>
            <w:pPr>
              <w:pStyle w:val="T4dispositie"/>
              <w:rPr>
                <w:lang w:val="nl-NL"/>
              </w:rPr>
            </w:pPr>
            <w:r>
              <w:rPr>
                <w:lang w:val="nl-NL"/>
              </w:rPr>
              <w:t>Octaaf</w:t>
            </w:r>
          </w:p>
          <w:p>
            <w:pPr>
              <w:pStyle w:val="T4dispositie"/>
              <w:rPr>
                <w:lang w:val="nl-NL"/>
              </w:rPr>
            </w:pPr>
            <w:r>
              <w:rPr>
                <w:lang w:val="nl-NL"/>
              </w:rPr>
              <w:t>Gedekt</w:t>
            </w:r>
          </w:p>
          <w:p>
            <w:pPr>
              <w:pStyle w:val="T4dispositie"/>
              <w:rPr>
                <w:lang w:val="nl-NL"/>
              </w:rPr>
            </w:pPr>
            <w:r>
              <w:rPr>
                <w:lang w:val="nl-NL"/>
              </w:rPr>
              <w:t>Koraalbas</w:t>
            </w:r>
          </w:p>
          <w:p>
            <w:pPr>
              <w:pStyle w:val="T4dispositie"/>
              <w:rPr>
                <w:lang w:val="nl-NL"/>
              </w:rPr>
            </w:pPr>
            <w:r>
              <w:rPr>
                <w:lang w:val="nl-NL"/>
              </w:rPr>
              <w:t>Bazuin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pPr>
            <w:r>
              <w:rPr>
                <w:lang w:val="nl-NL"/>
              </w:rPr>
              <w:t>16</w:t>
            </w:r>
            <w:r>
              <w:rPr/>
              <w:t>'</w:t>
            </w:r>
            <w:r>
              <w:rPr>
                <w:lang w:val="nl-NL"/>
              </w:rPr>
              <w:t xml:space="preserve"> tr</w:t>
            </w:r>
          </w:p>
          <w:p>
            <w:pPr>
              <w:pStyle w:val="T4dispositie"/>
              <w:rPr>
                <w:lang w:val="nl-NL"/>
              </w:rPr>
            </w:pPr>
            <w:r>
              <w:rPr>
                <w:lang w:val="nl-NL"/>
              </w:rPr>
              <w:t>8</w:t>
            </w:r>
            <w:r>
              <w:rPr/>
              <w:t>'</w:t>
            </w:r>
          </w:p>
          <w:p>
            <w:pPr>
              <w:pStyle w:val="T4dispositie"/>
              <w:rPr/>
            </w:pPr>
            <w:r>
              <w:rPr>
                <w:lang w:val="nl-NL"/>
              </w:rPr>
              <w:t>8</w:t>
            </w:r>
            <w:r>
              <w:rPr/>
              <w:t>'</w:t>
            </w:r>
            <w:r>
              <w:rPr>
                <w:lang w:val="nl-NL"/>
              </w:rPr>
              <w:t xml:space="preserve"> tr</w:t>
            </w:r>
          </w:p>
          <w:p>
            <w:pPr>
              <w:pStyle w:val="T4dispositie"/>
              <w:rPr>
                <w:lang w:val="nl-NL"/>
              </w:rPr>
            </w:pPr>
            <w:r>
              <w:rPr>
                <w:lang w:val="nl-NL"/>
              </w:rPr>
              <w:t>4</w:t>
            </w:r>
            <w:r>
              <w:rPr/>
              <w:t>'</w:t>
            </w:r>
          </w:p>
          <w:p>
            <w:pPr>
              <w:pStyle w:val="T4dispositie"/>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HW-ZwW Sub, HW-ZwW Super, Ped-HW, Ped-ZwW</w:t>
      </w:r>
    </w:p>
    <w:p>
      <w:pPr>
        <w:pStyle w:val="T1"/>
        <w:jc w:val="start"/>
        <w:rPr>
          <w:lang w:val="nl-NL"/>
        </w:rPr>
      </w:pPr>
      <w:r>
        <w:rPr>
          <w:lang w:val="nl-NL"/>
        </w:rPr>
        <w:t>drukknoppen: aut ped omsch met oplosser</w:t>
      </w:r>
    </w:p>
    <w:p>
      <w:pPr>
        <w:pStyle w:val="T1"/>
        <w:jc w:val="start"/>
        <w:rPr>
          <w:lang w:val="nl-NL"/>
        </w:rPr>
      </w:pPr>
      <w:r>
        <w:rPr>
          <w:lang w:val="nl-NL"/>
        </w:rPr>
        <w:t>vaste combinaties P-MF-F-T, vrije combinatie, oplosser</w:t>
      </w:r>
    </w:p>
    <w:p>
      <w:pPr>
        <w:pStyle w:val="T1"/>
        <w:jc w:val="start"/>
        <w:rPr>
          <w:lang w:val="nl-NL"/>
        </w:rPr>
      </w:pPr>
      <w:r>
        <w:rPr>
          <w:lang w:val="nl-NL"/>
        </w:rPr>
        <w:t>tongwerk afsteller met oplosser</w:t>
      </w:r>
    </w:p>
    <w:p>
      <w:pPr>
        <w:pStyle w:val="T1"/>
        <w:jc w:val="start"/>
        <w:rPr>
          <w:lang w:val="nl-NL"/>
        </w:rPr>
      </w:pPr>
      <w:r>
        <w:rPr>
          <w:lang w:val="nl-NL"/>
        </w:rPr>
        <w:t>generaalcrescendo (basculetrede) met oplosser en schaalaanwijzer</w:t>
      </w:r>
    </w:p>
    <w:p>
      <w:pPr>
        <w:pStyle w:val="T1"/>
        <w:jc w:val="start"/>
        <w:rPr>
          <w:lang w:val="nl-NL"/>
        </w:rPr>
      </w:pPr>
      <w:r>
        <w:rPr>
          <w:lang w:val="nl-NL"/>
        </w:rPr>
        <w:t>balanstrede ZwW</w:t>
      </w:r>
    </w:p>
    <w:p>
      <w:pPr>
        <w:pStyle w:val="T1"/>
        <w:jc w:val="start"/>
        <w:rPr>
          <w:lang w:val="nl-NL"/>
        </w:rPr>
      </w:pPr>
      <w:r>
        <w:rPr>
          <w:lang w:val="nl-NL"/>
        </w:rPr>
        <w:t>tremulant ZwW</w:t>
      </w:r>
    </w:p>
    <w:p>
      <w:pPr>
        <w:pStyle w:val="T1"/>
        <w:jc w:val="start"/>
        <w:rPr>
          <w:lang w:val="nl-NL"/>
        </w:rPr>
      </w:pPr>
      <w:r>
        <w:rPr>
          <w:lang w:val="nl-NL"/>
        </w:rPr>
      </w:r>
    </w:p>
    <w:p>
      <w:pPr>
        <w:pStyle w:val="T1"/>
        <w:jc w:val="start"/>
        <w:rPr>
          <w:lang w:val="nl-NL"/>
        </w:rPr>
      </w:pPr>
      <w:r>
        <w:rPr>
          <w:lang w:val="nl-NL"/>
        </w:rPr>
        <w:t>Samenstelling vulstemmen</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Cornet</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18"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tbl>
      <w:tblPr>
        <w:tblW w:w="3895" w:type="dxa"/>
        <w:jc w:val="start"/>
        <w:tblInd w:w="-70" w:type="dxa"/>
        <w:tblLayout w:type="fixed"/>
        <w:tblCellMar>
          <w:top w:w="0" w:type="dxa"/>
          <w:start w:w="70" w:type="dxa"/>
          <w:bottom w:w="0" w:type="dxa"/>
          <w:end w:w="70" w:type="dxa"/>
        </w:tblCellMar>
      </w:tblPr>
      <w:tblGrid>
        <w:gridCol w:w="1023"/>
        <w:gridCol w:w="718"/>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r>
        <w:rPr>
          <w:lang w:val="nl-NL"/>
        </w:rPr>
        <w:t>, lade ZwW C-g</w:t>
      </w:r>
      <w:r>
        <w:rPr>
          <w:vertAlign w:val="superscript"/>
          <w:lang w:val="nl-NL"/>
        </w:rPr>
        <w:t>4</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w:t>
      </w:r>
    </w:p>
    <w:p>
      <w:pPr>
        <w:pStyle w:val="T1"/>
        <w:jc w:val="start"/>
        <w:rPr>
          <w:lang w:val="nl-NL"/>
        </w:rPr>
      </w:pPr>
      <w:r>
        <w:rPr>
          <w:lang w:val="nl-NL"/>
        </w:rPr>
        <w:t>Winddruk</w:t>
      </w:r>
    </w:p>
    <w:p>
      <w:pPr>
        <w:pStyle w:val="T1"/>
        <w:jc w:val="start"/>
        <w:rPr>
          <w:lang w:val="nl-NL"/>
        </w:rPr>
      </w:pPr>
      <w:r>
        <w:rPr>
          <w:lang w:val="nl-NL"/>
        </w:rPr>
        <w:t>HW en Ped 85 mm, ZwW 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op de tegenoverliggende galerij</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rFonts w:ascii="Times" w:hAnsi="Times" w:cs="Times"/>
          <w:lang w:val="nl-NL"/>
        </w:rPr>
      </w:pPr>
      <w:r>
        <w:rPr>
          <w:rFonts w:cs="Times" w:ascii="Times" w:hAnsi="Times"/>
          <w:lang w:val="nl-NL"/>
        </w:rPr>
        <w:t>De dispositie van instrument kwam in stand in samenspraak met Piet van den Kerkhoff. De kegelladen worden tot aan de toonrelais elektrisch aangestuurd, de laden zelf functioneren rein pneumatisch.</w:t>
      </w:r>
    </w:p>
    <w:p>
      <w:pPr>
        <w:pStyle w:val="T1"/>
        <w:jc w:val="start"/>
        <w:rPr>
          <w:lang w:val="nl-NL"/>
        </w:rPr>
      </w:pPr>
      <w:r>
        <w:rPr>
          <w:lang w:val="nl-NL"/>
        </w:rPr>
        <w:t>De vrijstaande speeltafel staat op de tegenoverliggende galerij met zicht op het front. De registerwippers bevinden zich in een horizontale rij boven de handklavieren met van links naar rechts achtereenvolgens koppelingen, HW, ZwW inclusief Tremulant en Ped. Boven de registerwippers en firmasignatuur zijn de schakelaars voor de vrije combinatie geplaatst. Drukknoppen onder het HW-klavier met de vier bijbehorende oplossers bedienen van links naar rechts pedaalomschakelaar, vaste en vrije combinatie(s), tongwerkafsteller en generaalcrescendo.</w:t>
      </w:r>
    </w:p>
    <w:p>
      <w:pPr>
        <w:pStyle w:val="T1"/>
        <w:jc w:val="start"/>
        <w:rPr/>
      </w:pPr>
      <w:r>
        <w:rPr>
          <w:lang w:val="nl-NL"/>
        </w:rPr>
        <w:t>In het front spreken C-Fis (middenrond), G-fis (flankerende ronden) en g-h (buitenste pijpen binnenvelden) van de Prestant 8' HW; C-H (zijronden) en c-f</w:t>
      </w:r>
      <w:r>
        <w:rPr>
          <w:vertAlign w:val="superscript"/>
          <w:lang w:val="nl-NL"/>
        </w:rPr>
        <w:t>1</w:t>
      </w:r>
      <w:r>
        <w:rPr>
          <w:lang w:val="nl-NL"/>
        </w:rPr>
        <w:t xml:space="preserve"> (aansluitend naast Christusmonogram) van de Octaaf 8' Ped en C-h van de Koraalbas 4' Ped (geheel aan weerszijden). Al het frontpijpwerk is van zink, het metalen pijpwerk voor c</w:t>
      </w:r>
      <w:r>
        <w:rPr>
          <w:vertAlign w:val="superscript"/>
          <w:lang w:val="nl-NL"/>
        </w:rPr>
        <w:t>1</w:t>
      </w:r>
      <w:r>
        <w:rPr>
          <w:lang w:val="nl-NL"/>
        </w:rPr>
        <w:t>-f</w:t>
      </w:r>
      <w:r>
        <w:rPr>
          <w:vertAlign w:val="superscript"/>
          <w:lang w:val="nl-NL"/>
        </w:rPr>
        <w:t>1</w:t>
      </w:r>
      <w:r>
        <w:rPr>
          <w:lang w:val="nl-NL"/>
        </w:rPr>
        <w:t xml:space="preserve"> van de Koraalbas 8' Ped staat binnen op de frontcancel.</w:t>
      </w:r>
    </w:p>
    <w:p>
      <w:pPr>
        <w:pStyle w:val="T1"/>
        <w:jc w:val="start"/>
        <w:rPr/>
      </w:pPr>
      <w:r>
        <w:rPr>
          <w:lang w:val="nl-NL"/>
        </w:rPr>
        <w:t>Voor het HW zijn twee laden aanwezig, beide ingedeeld met C-h in hele tonen van midden uit aflopend links en c</w:t>
      </w:r>
      <w:r>
        <w:rPr>
          <w:vertAlign w:val="superscript"/>
          <w:lang w:val="nl-NL"/>
        </w:rPr>
        <w:t>1</w:t>
      </w:r>
      <w:r>
        <w:rPr>
          <w:lang w:val="nl-NL"/>
        </w:rPr>
        <w:t>-g</w:t>
      </w:r>
      <w:r>
        <w:rPr>
          <w:vertAlign w:val="superscript"/>
          <w:lang w:val="nl-NL"/>
        </w:rPr>
        <w:t>3</w:t>
      </w:r>
      <w:r>
        <w:rPr>
          <w:lang w:val="nl-NL"/>
        </w:rPr>
        <w:t xml:space="preserve"> chromatisch rechts van de registerkasten. Op de voorste lade staan de acht-voets labiaalregisters en de Nachthoorn 4', op de achterste lade de overige registers inclusief de Trompet 8' vanaf fis. Voor de discant (vanaf fis</w:t>
      </w:r>
      <w:r>
        <w:rPr>
          <w:vertAlign w:val="superscript"/>
          <w:lang w:val="nl-NL"/>
        </w:rPr>
        <w:t>1</w:t>
      </w:r>
      <w:r>
        <w:rPr>
          <w:lang w:val="nl-NL"/>
        </w:rPr>
        <w:t>) van de Bourdon 16' zijn afzonderlijke registercancellen toegepast. De 16'-registers van het Ped staan chromatisch langs de linker zij- en achterwand van de orgelkamer. Voor het ZwW zijn twee chromatische laden aanwezig (registerkasten tussen h en c</w:t>
      </w:r>
      <w:r>
        <w:rPr>
          <w:vertAlign w:val="superscript"/>
          <w:lang w:val="nl-NL"/>
        </w:rPr>
        <w:t>1</w:t>
      </w:r>
      <w:r>
        <w:rPr>
          <w:lang w:val="nl-NL"/>
        </w:rPr>
        <w:t>) in een afzonderlijke kamer rechtsboven met jaloezieën in voor- en zijwand. De voorste ZwW-lade bevat de acht-voets labiaalregisters en de Openfluit 4', de achterste de overige registers. Beide ZwW-laden zijn voor alle registers uitgebouwd tot g</w:t>
      </w:r>
      <w:r>
        <w:rPr>
          <w:vertAlign w:val="superscript"/>
          <w:lang w:val="nl-NL"/>
        </w:rPr>
        <w:t>4</w:t>
      </w:r>
      <w:r>
        <w:rPr>
          <w:lang w:val="nl-NL"/>
        </w:rPr>
        <w:t>, de Nasard 2 2/3', Gemshoorn 2' en Terts 1 3/5' repeteren op gis</w:t>
      </w:r>
      <w:r>
        <w:rPr>
          <w:vertAlign w:val="superscript"/>
          <w:lang w:val="nl-NL"/>
        </w:rPr>
        <w:t>3</w:t>
      </w:r>
      <w:r>
        <w:rPr>
          <w:lang w:val="nl-NL"/>
        </w:rPr>
        <w:t>.</w:t>
      </w:r>
    </w:p>
    <w:p>
      <w:pPr>
        <w:pStyle w:val="T1"/>
        <w:jc w:val="start"/>
        <w:rPr/>
      </w:pPr>
      <w:r>
        <w:rPr>
          <w:lang w:val="nl-NL"/>
        </w:rPr>
        <w:t>Zinken binnenpijpwerk is toegepast voor C-H van alle open acht-voets registers. Gedekt houten pijpwerk is aanwezig voor de Subbas 16' Ped, voor C-f</w:t>
      </w:r>
      <w:r>
        <w:rPr>
          <w:vertAlign w:val="superscript"/>
          <w:lang w:val="nl-NL"/>
        </w:rPr>
        <w:t>1</w:t>
      </w:r>
      <w:r>
        <w:rPr>
          <w:lang w:val="nl-NL"/>
        </w:rPr>
        <w:t xml:space="preserve"> van de combinatiereeks Bourdon 16' HW/Zachte bas 16' Ped/C-f Gedekt 8' Ped en voor C-H van de oorspronkelijke Dubbelfluit 8'. In plaats van het oorspronkelijk vanaf c metalen pijpwerk van dit register is thans een Roerfluit 8' aanwezig. De binnenprestanten van HW en ZwW inclusief de Mixtuur zijn uitgevoerd in spotted metal. De drie acht-voets strijkers, de enkelvoudige prestantregisters van HW en ZwW, de Cornet (8', gedekt) en 4'- en 2 2/3' koor van de Mixtuur (2'- en 1 1/3' koor beide expressions t/m h) hebben expressions t/m respectievelijk g</w:t>
      </w:r>
      <w:r>
        <w:rPr>
          <w:vertAlign w:val="superscript"/>
          <w:lang w:val="nl-NL"/>
        </w:rPr>
        <w:t>3</w:t>
      </w:r>
      <w:r>
        <w:rPr>
          <w:lang w:val="nl-NL"/>
        </w:rPr>
        <w:t>, g</w:t>
      </w:r>
      <w:r>
        <w:rPr>
          <w:vertAlign w:val="superscript"/>
          <w:lang w:val="nl-NL"/>
        </w:rPr>
        <w:t>2</w:t>
      </w:r>
      <w:r>
        <w:rPr>
          <w:lang w:val="nl-NL"/>
        </w:rPr>
        <w:t>, c</w:t>
      </w:r>
      <w:r>
        <w:rPr>
          <w:vertAlign w:val="superscript"/>
          <w:lang w:val="nl-NL"/>
        </w:rPr>
        <w:t>2</w:t>
      </w:r>
      <w:r>
        <w:rPr>
          <w:lang w:val="nl-NL"/>
        </w:rPr>
        <w:t>, g</w:t>
      </w:r>
      <w:r>
        <w:rPr>
          <w:vertAlign w:val="superscript"/>
          <w:lang w:val="nl-NL"/>
        </w:rPr>
        <w:t xml:space="preserve">1 </w:t>
      </w:r>
      <w:r>
        <w:rPr>
          <w:lang w:val="nl-NL"/>
        </w:rPr>
        <w:t>en dis</w:t>
      </w:r>
      <w:r>
        <w:rPr>
          <w:vertAlign w:val="superscript"/>
          <w:lang w:val="nl-NL"/>
        </w:rPr>
        <w:t>1</w:t>
      </w:r>
      <w:r>
        <w:rPr>
          <w:lang w:val="nl-NL"/>
        </w:rPr>
        <w:t>, vervolgens zijn bij deze registers (behoudens superoctaaf Viola di Gamba en Voix Céleste ZwW) stemkrullen aanwezig tot 1/4'-lengte. De Nachthoorn 4' HW (C-h</w:t>
      </w:r>
      <w:r>
        <w:rPr>
          <w:vertAlign w:val="superscript"/>
          <w:lang w:val="nl-NL"/>
        </w:rPr>
        <w:t>2</w:t>
      </w:r>
      <w:r>
        <w:rPr>
          <w:lang w:val="nl-NL"/>
        </w:rPr>
        <w:t>, gehele register wijd cilindrisch open met smalle labia) is evenals de conische registers Nasard 2 2/3' (C-g</w:t>
      </w:r>
      <w:r>
        <w:rPr>
          <w:vertAlign w:val="superscript"/>
          <w:lang w:val="nl-NL"/>
        </w:rPr>
        <w:t>1</w:t>
      </w:r>
      <w:r>
        <w:rPr>
          <w:lang w:val="nl-NL"/>
        </w:rPr>
        <w:t>), Gemshoorn 2' (C-g</w:t>
      </w:r>
      <w:r>
        <w:rPr>
          <w:vertAlign w:val="superscript"/>
          <w:lang w:val="nl-NL"/>
        </w:rPr>
        <w:t>1</w:t>
      </w:r>
      <w:r>
        <w:rPr>
          <w:lang w:val="nl-NL"/>
        </w:rPr>
        <w:t>) en Terts 1 3/5' (C-dis</w:t>
      </w:r>
      <w:r>
        <w:rPr>
          <w:vertAlign w:val="superscript"/>
          <w:lang w:val="nl-NL"/>
        </w:rPr>
        <w:t>1</w:t>
      </w:r>
      <w:r>
        <w:rPr>
          <w:lang w:val="nl-NL"/>
        </w:rPr>
        <w:t>) van het ZwW eveneens voorzien van stemkrullen. C-f</w:t>
      </w:r>
      <w:r>
        <w:rPr>
          <w:vertAlign w:val="superscript"/>
          <w:lang w:val="nl-NL"/>
        </w:rPr>
        <w:t>1</w:t>
      </w:r>
      <w:r>
        <w:rPr>
          <w:lang w:val="nl-NL"/>
        </w:rPr>
        <w:t xml:space="preserve"> van de conische Openfluit 4' hebben expressions. Het superoctaaf van de Quintadena 8' ZwW (C-h</w:t>
      </w:r>
      <w:r>
        <w:rPr>
          <w:vertAlign w:val="superscript"/>
          <w:lang w:val="nl-NL"/>
        </w:rPr>
        <w:t>1</w:t>
      </w:r>
      <w:r>
        <w:rPr>
          <w:lang w:val="nl-NL"/>
        </w:rPr>
        <w:t xml:space="preserve"> kastbaarden, c</w:t>
      </w:r>
      <w:r>
        <w:rPr>
          <w:vertAlign w:val="superscript"/>
          <w:lang w:val="nl-NL"/>
        </w:rPr>
        <w:t>2</w:t>
      </w:r>
      <w:r>
        <w:rPr>
          <w:lang w:val="nl-NL"/>
        </w:rPr>
        <w:t>-g</w:t>
      </w:r>
      <w:r>
        <w:rPr>
          <w:vertAlign w:val="superscript"/>
          <w:lang w:val="nl-NL"/>
        </w:rPr>
        <w:t>3</w:t>
      </w:r>
      <w:r>
        <w:rPr>
          <w:lang w:val="nl-NL"/>
        </w:rPr>
        <w:t xml:space="preserve"> zijbaarden) is cilindrisch open. Salicionaal 8', Viola di Gamba 8' en Voix céleste 8' (vanaf c) hebben alle freins t/m h</w:t>
      </w:r>
      <w:r>
        <w:rPr>
          <w:vertAlign w:val="superscript"/>
          <w:lang w:val="nl-NL"/>
        </w:rPr>
        <w:t>1</w:t>
      </w:r>
      <w:r>
        <w:rPr>
          <w:lang w:val="nl-NL"/>
        </w:rPr>
        <w:t xml:space="preserve"> en vervolgens zijbaarden behoudens de superoctaven.</w:t>
      </w:r>
    </w:p>
    <w:p>
      <w:pPr>
        <w:pStyle w:val="T1"/>
        <w:jc w:val="start"/>
        <w:rPr/>
      </w:pPr>
      <w:r>
        <w:rPr>
          <w:lang w:val="nl-NL"/>
        </w:rPr>
        <w:t>C-H van de Bazuin 16' hebben houten stevels en zinken bekers. C-f van de Trompet 8' zijn gecombineerd met c-f</w:t>
      </w:r>
      <w:r>
        <w:rPr>
          <w:vertAlign w:val="superscript"/>
          <w:lang w:val="nl-NL"/>
        </w:rPr>
        <w:t>1</w:t>
      </w:r>
      <w:r>
        <w:rPr>
          <w:lang w:val="nl-NL"/>
        </w:rPr>
        <w:t xml:space="preserve"> van de Bazuin 16', cis</w:t>
      </w:r>
      <w:r>
        <w:rPr>
          <w:vertAlign w:val="superscript"/>
          <w:lang w:val="nl-NL"/>
        </w:rPr>
        <w:t>3</w:t>
      </w:r>
      <w:r>
        <w:rPr>
          <w:lang w:val="nl-NL"/>
        </w:rPr>
        <w:t>-g</w:t>
      </w:r>
      <w:r>
        <w:rPr>
          <w:vertAlign w:val="superscript"/>
          <w:lang w:val="nl-NL"/>
        </w:rPr>
        <w:t>3</w:t>
      </w:r>
      <w:r>
        <w:rPr>
          <w:lang w:val="nl-NL"/>
        </w:rPr>
        <w:t xml:space="preserve"> van de Trompet 8' hebben dubbele bekerlengte. Van de halfgedekte Schalmei 8' (trechtervormige bekers C-h zink) hebben c-g</w:t>
      </w:r>
      <w:r>
        <w:rPr>
          <w:vertAlign w:val="superscript"/>
          <w:lang w:val="nl-NL"/>
        </w:rPr>
        <w:t>3</w:t>
      </w:r>
      <w:r>
        <w:rPr>
          <w:lang w:val="nl-NL"/>
        </w:rPr>
        <w:t xml:space="preserve"> een korte metalen trechter van spotted metal op koperen onderconus, het superoctaaf is labiaal met stemkrullen t/m c</w:t>
      </w:r>
      <w:r>
        <w:rPr>
          <w:vertAlign w:val="superscript"/>
          <w:lang w:val="nl-NL"/>
        </w:rPr>
        <w:t>4</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2010-03-21T23:02:00Z</dcterms:created>
  <dc:creator>WS1</dc:creator>
  <dc:description/>
  <dc:language>en-US</dc:language>
  <cp:lastModifiedBy>NIvO</cp:lastModifiedBy>
  <dcterms:modified xsi:type="dcterms:W3CDTF">2010-03-23T20:42:00Z</dcterms:modified>
  <cp:revision>3</cp:revision>
  <dc:subject/>
  <dc:title>Almkerk / 1877</dc:title>
</cp:coreProperties>
</file>