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Loenen aan de Vecht / 1950</w:t>
      </w:r>
    </w:p>
    <w:p>
      <w:pPr>
        <w:pStyle w:val="Heading2"/>
        <w:rPr>
          <w:i w:val="false"/>
          <w:i w:val="false"/>
          <w:iCs/>
        </w:rPr>
      </w:pPr>
      <w:r>
        <w:rPr>
          <w:i w:val="false"/>
          <w:iCs/>
        </w:rPr>
        <w:t>Grote Kerk</w:t>
      </w:r>
    </w:p>
    <w:p>
      <w:pPr>
        <w:pStyle w:val="T1"/>
        <w:jc w:val="start"/>
        <w:rPr>
          <w:i/>
          <w:i/>
          <w:iCs/>
        </w:rPr>
      </w:pPr>
      <w:r>
        <w:rPr>
          <w:i/>
          <w:iCs/>
        </w:rPr>
      </w:r>
    </w:p>
    <w:p>
      <w:pPr>
        <w:pStyle w:val="T1"/>
        <w:jc w:val="start"/>
        <w:rPr>
          <w:i/>
          <w:i/>
          <w:iCs/>
          <w:szCs w:val="25"/>
          <w:lang w:val="nl-NL"/>
        </w:rPr>
      </w:pPr>
      <w:r>
        <w:rPr>
          <w:i/>
          <w:iCs/>
          <w:szCs w:val="25"/>
          <w:lang w:val="nl-NL"/>
        </w:rPr>
        <w:t>Laatgotische pseudobasilicale kruiskerk, mogelijk met behoud van enig muurwerk uit de voorgaande 13e eeuwse kerk. Het lage, vijfzijdig gesloten koor en de sacristie zijn beide met tufsteen bekleed en dateren uit het midden van de 15e eeuw. Het nu als consistorie ingerichte koor heeft stenen gewelven met gebeeldhouwde kraag- en sluitstenen. Het transept dateert uit het eerste kwart van de 16e eeuw. Daarna zijn de toren en het huidige schip gebouwd. In 1945 zijn de kappen en een groot deel van de gewelven door brand verwoest. De kerk is vervolgens hersteld naar de plannen van F.B. Jantzen. Transept en schip hebben houten tongewelven.</w:t>
      </w:r>
    </w:p>
    <w:p>
      <w:pPr>
        <w:pStyle w:val="T1"/>
        <w:jc w:val="start"/>
        <w:rPr>
          <w:i/>
          <w:i/>
          <w:iCs/>
          <w:lang w:val="nl-NL"/>
        </w:rPr>
      </w:pPr>
      <w:r>
        <w:rPr>
          <w:i/>
          <w:iCs/>
          <w:szCs w:val="25"/>
          <w:lang w:val="nl-NL"/>
        </w:rPr>
        <w:t>In het interieur wordt de scheiding met het oorspronkelijke koor gevormd door een onder de triomfboog aangebrachte wand waarvan het orgel en de preekstoel deel uitmaken. Deze wand is ontworpen door Abraham van der Hart, het snijwerk is van A. Ziesenis. In de kerk voorts een Lodewijk-XIV-preekstoel, een schepenbank, enkele herenbanken en tien rouwborden uit de 17e en 18e eeuw.</w:t>
      </w:r>
    </w:p>
    <w:p>
      <w:pPr>
        <w:pStyle w:val="T1"/>
        <w:jc w:val="start"/>
        <w:rPr>
          <w:i/>
          <w:i/>
          <w:iCs/>
          <w:lang w:val="nl-NL"/>
        </w:rPr>
      </w:pPr>
      <w:r>
        <w:rPr>
          <w:i/>
          <w:iCs/>
          <w:lang w:val="nl-NL"/>
        </w:rPr>
      </w:r>
    </w:p>
    <w:p>
      <w:pPr>
        <w:pStyle w:val="T1"/>
        <w:jc w:val="start"/>
        <w:rPr>
          <w:lang w:val="nl-NL"/>
        </w:rPr>
      </w:pPr>
      <w:r>
        <w:rPr>
          <w:lang w:val="nl-NL"/>
        </w:rPr>
        <w:t>Kas: 1950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Voor de herbouw van de in 1945 door brand verwoeste kerk werd de architect Ferd. B. Jantzen aangetrokken. Opzet was, om het gebouw in oude staat te herstellen. Voor de orgelmaker D. A. Flentrop ontstond daarbij een aanmerkelijk probleem. De vormgeving van het voormalig orgel, in 1787 gebouwd door Christoffel Bätz met één manuaal en achterkantbespeling, en in 1863 door J. Bätz &amp; Co. met een bescheiden tweede manuaal vergroot, was weliswaar prachtig, maar een zodanig opgezet orgel strookte toch weinig met de principes die rond 1950 in vooruitstrevende kringen zo strikt beleden werden. Het is Jantzen geweest die dit dilemma tot een oplossing bracht. De geschetste ontwerptekening is binnen de orgelmakerij Flentrop en de familie Flentrop altijd als een kostbaar relikwie gekoesterd.</w:t>
      </w:r>
    </w:p>
    <w:p>
      <w:pPr>
        <w:pStyle w:val="T2Kunst"/>
        <w:jc w:val="start"/>
        <w:rPr>
          <w:lang w:val="nl-NL"/>
        </w:rPr>
      </w:pPr>
      <w:r>
        <w:rPr>
          <w:lang w:val="nl-NL"/>
        </w:rPr>
        <w:t>De oplossing bestond uit een omhoog gebrachte reconstructie van het front van 1787, met daaronder een toegevoegd rugwerk. Bij de reconstructie van het front van 1787 werden de zijvelden niet achterwaarts weglopend, maar haaks geplaatst. Dit leverde twee voordelen op: In de eerste plaats meer ruimte, belangrijk voor het vrije pedaal, en in de tweede plaats meer samenhang met het rugwerkfront. De bijzondere frontstructuur van het Bätz-front, met zijn achterwaarts gebogen kwartronde gedeelde tussenvelden, is in het rugwerkfront niet nagevolgd. In plaats hiervan is een meer gangbaar vijfledig front met spitse zijtorens en vlakke gedeelde tussenvelden ontworpen. De hierdoor ontstane contrastwerking zit de vormgeving van het gereconstrueerde front niet in de weg en werkt toch aangenaam.</w:t>
      </w:r>
    </w:p>
    <w:p>
      <w:pPr>
        <w:pStyle w:val="T2Kunst"/>
        <w:jc w:val="start"/>
        <w:rPr>
          <w:lang w:val="nl-NL"/>
        </w:rPr>
      </w:pPr>
      <w:r>
        <w:rPr>
          <w:lang w:val="nl-NL"/>
        </w:rPr>
        <w:t xml:space="preserve">Voor de uitvoering van de ornamentiek zijn kennelijk oude foto’s geraadpleegd. De composities van de blinderingen bestaan uit S-voluten, meestal symmetrisch gekoppeld, en omrankt door bladmotieven. Het lijkt erop, dat de oorspronkelijke ornamenten iets fragieler en luchtiger uitgevoerd waren. </w:t>
      </w:r>
    </w:p>
    <w:p>
      <w:pPr>
        <w:pStyle w:val="T2Kunst"/>
        <w:jc w:val="start"/>
        <w:rPr>
          <w:lang w:val="nl-NL"/>
        </w:rPr>
      </w:pPr>
      <w:r>
        <w:rPr>
          <w:lang w:val="nl-NL"/>
        </w:rPr>
        <w:t>Op de stijlen van de grote kas zijn, conform de oude situatie, festoenen aangebracht. Op de panelen van de zijwand zijn trofeeën bevestigd, waarin muziekinstrumenten zijn opgenomen, zoals dat ook bij het Bätz-orgel (op smallere panelen overigens) het geval was.</w:t>
      </w:r>
    </w:p>
    <w:p>
      <w:pPr>
        <w:pStyle w:val="T2Kunst"/>
        <w:jc w:val="start"/>
        <w:rPr>
          <w:lang w:val="nl-NL"/>
        </w:rPr>
      </w:pPr>
      <w:r>
        <w:rPr>
          <w:lang w:val="nl-NL"/>
        </w:rPr>
        <w:t>Op de middentoren een medaillon, vastgehouden door cherubijntjes en rustend op een gebogen fronton, overeenkomend met de situatie van 1787. In de torenkap van het hoofdwerk, de rechte afsluitende lijst boven de HW-velden en in het gebogen fronton zijn verfijnd uitgevoerde eierlijsten te zien. Bij het rugwerkfront is dat niet het geval, waarmee men in 1950 het onderscheid tussen het geconstrueerde front en de toevoeging heeft willen markeren.</w:t>
      </w:r>
    </w:p>
    <w:p>
      <w:pPr>
        <w:pStyle w:val="T2Kunst"/>
        <w:jc w:val="start"/>
        <w:rPr>
          <w:lang w:val="nl-NL"/>
        </w:rPr>
      </w:pPr>
      <w:r>
        <w:rPr>
          <w:lang w:val="nl-NL"/>
        </w:rPr>
        <w:t>Bij het oude orgel stonden aan weerskanten op de stijl tussen de kwartronde gedeelde velden en de grote zijvelden putti. Door de haakse vormgeving van de zijvelden (met vijf pijpen in plaats van de 9 van 1787) is hier een geheel andere vormgeving ontstaan. Dit heeft ertoe geleid dat men op de bovenlijst aan weerszijden twee putti heeft geplaatst.</w:t>
      </w:r>
    </w:p>
    <w:p>
      <w:pPr>
        <w:pStyle w:val="T2Kunst"/>
        <w:jc w:val="start"/>
        <w:rPr>
          <w:lang w:val="nl-NL"/>
        </w:rPr>
      </w:pPr>
      <w:r>
        <w:rPr>
          <w:lang w:val="nl-NL"/>
        </w:rPr>
        <w:t>De rugwerkkas kreeg als bekroning een medaillon in een omlijsting van S-voluten met enige plantaardige aanvulling op de middentoren, en bescheiden kroontjes op de zijtorens.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bCs/>
          <w:i/>
          <w:i/>
          <w:lang w:val="nl-NL"/>
        </w:rPr>
      </w:pPr>
      <w:r>
        <w:rPr>
          <w:bCs/>
          <w:lang w:val="nl-NL"/>
        </w:rPr>
        <w:t xml:space="preserve">Jan Jongepier, </w:t>
      </w:r>
      <w:r>
        <w:rPr>
          <w:bCs/>
          <w:i/>
          <w:lang w:val="nl-NL"/>
        </w:rPr>
        <w:t>75 jaar Flentrop Orgelbouw</w:t>
      </w:r>
      <w:r>
        <w:rPr>
          <w:bCs/>
          <w:lang w:val="nl-NL"/>
        </w:rPr>
        <w:t>. Zaandam (1978), 24-25.</w:t>
      </w:r>
    </w:p>
    <w:p>
      <w:pPr>
        <w:pStyle w:val="T3Lit"/>
        <w:jc w:val="start"/>
        <w:rPr/>
      </w:pPr>
      <w:r>
        <w:rPr>
          <w:bCs/>
          <w:lang w:val="nl-NL"/>
        </w:rPr>
        <w:t xml:space="preserve">R. Jut, ‘Het orgel in de Ned. Herv. Kerk te Loenen a/d Vecht.’ </w:t>
      </w:r>
      <w:r>
        <w:rPr>
          <w:bCs/>
          <w:i/>
          <w:lang w:val="nl-NL"/>
        </w:rPr>
        <w:t>Organist &amp; Eredienst</w:t>
      </w:r>
      <w:r>
        <w:rPr>
          <w:bCs/>
          <w:lang w:val="nl-NL"/>
        </w:rPr>
        <w:t xml:space="preserve"> (16/176), oktober 1950.</w:t>
      </w:r>
    </w:p>
    <w:p>
      <w:pPr>
        <w:pStyle w:val="T3Lit"/>
        <w:jc w:val="start"/>
        <w:rPr/>
      </w:pPr>
      <w:r>
        <w:rPr>
          <w:bCs/>
          <w:lang w:val="nl-NL"/>
        </w:rPr>
        <w:t xml:space="preserve">Hans Kriek, </w:t>
      </w:r>
      <w:r>
        <w:rPr>
          <w:bCs/>
          <w:i/>
          <w:lang w:val="nl-NL"/>
        </w:rPr>
        <w:t>Organum Novum Redivivum</w:t>
      </w:r>
      <w:r>
        <w:rPr>
          <w:bCs/>
          <w:lang w:val="nl-NL"/>
        </w:rPr>
        <w:t>. Buren (1981), ...</w:t>
      </w:r>
    </w:p>
    <w:p>
      <w:pPr>
        <w:pStyle w:val="T3Lit"/>
        <w:jc w:val="start"/>
        <w:rPr/>
      </w:pPr>
      <w:r>
        <w:rPr>
          <w:bCs/>
          <w:lang w:val="nl-NL"/>
        </w:rPr>
        <w:t xml:space="preserve">P.H. Kriek, Herm. S.J. Zandt, </w:t>
      </w:r>
      <w:r>
        <w:rPr>
          <w:bCs/>
          <w:i/>
          <w:lang w:val="nl-NL"/>
        </w:rPr>
        <w:t>Organum Novum: Orgelbeweging in Nederland sedert 1945</w:t>
      </w:r>
      <w:r>
        <w:rPr>
          <w:bCs/>
          <w:lang w:val="nl-NL"/>
        </w:rPr>
        <w:t>. Sneek (1964), 25.</w:t>
      </w:r>
    </w:p>
    <w:p>
      <w:pPr>
        <w:pStyle w:val="T3Lit"/>
        <w:jc w:val="start"/>
        <w:rPr/>
      </w:pPr>
      <w:r>
        <w:rPr>
          <w:bCs/>
          <w:i/>
          <w:lang w:val="nl-NL"/>
        </w:rPr>
        <w:t xml:space="preserve">Organophilia, Maandblad voor Orgelvrienden </w:t>
      </w:r>
      <w:r>
        <w:rPr>
          <w:bCs/>
          <w:lang w:val="nl-NL"/>
        </w:rPr>
        <w:t>1/12 (1950).</w:t>
      </w:r>
    </w:p>
    <w:p>
      <w:pPr>
        <w:pStyle w:val="T3Lit"/>
        <w:jc w:val="start"/>
        <w:rPr/>
      </w:pPr>
      <w:r>
        <w:rPr>
          <w:bCs/>
          <w:i/>
          <w:lang w:val="nl-NL"/>
        </w:rPr>
        <w:t>Het Orgelblad</w:t>
      </w:r>
      <w:r>
        <w:rPr>
          <w:bCs/>
          <w:lang w:val="nl-NL"/>
        </w:rPr>
        <w:t xml:space="preserve"> 4/11 (1961).</w:t>
      </w:r>
    </w:p>
    <w:p>
      <w:pPr>
        <w:pStyle w:val="T3Lit"/>
        <w:jc w:val="start"/>
        <w:rPr/>
      </w:pPr>
      <w:r>
        <w:rPr>
          <w:bCs/>
          <w:i/>
          <w:lang w:val="nl-NL"/>
        </w:rPr>
        <w:t>De Orgelvriend</w:t>
      </w:r>
      <w:r>
        <w:rPr>
          <w:bCs/>
          <w:lang w:val="nl-NL"/>
        </w:rPr>
        <w:t>, 13/2 (1971), 24; 21/12 (1979), 5.</w:t>
      </w:r>
    </w:p>
    <w:p>
      <w:pPr>
        <w:pStyle w:val="T3Lit"/>
        <w:jc w:val="start"/>
        <w:rPr/>
      </w:pPr>
      <w:r>
        <w:rPr>
          <w:bCs/>
          <w:lang w:val="nl-NL"/>
        </w:rPr>
        <w:t>H.J. de Rooij, ‘Geschiedenis orgels in de Ned. Herv. Kerk te Loenen a.d. Vecht.’</w:t>
      </w:r>
      <w:r>
        <w:rPr>
          <w:bCs/>
          <w:i/>
          <w:lang w:val="nl-NL"/>
        </w:rPr>
        <w:t>De Orgelvriend</w:t>
      </w:r>
      <w:r>
        <w:rPr>
          <w:bCs/>
          <w:lang w:val="nl-NL"/>
        </w:rPr>
        <w:t>, 28/4 (1986), 12.</w:t>
      </w:r>
    </w:p>
    <w:p>
      <w:pPr>
        <w:pStyle w:val="T3Lit"/>
        <w:rPr>
          <w:bCs/>
          <w:lang w:val="nl-NL"/>
        </w:rPr>
      </w:pPr>
      <w:r>
        <w:rPr>
          <w:lang w:val="nl-NL"/>
        </w:rPr>
        <w:t xml:space="preserve">Teus den Toom, </w:t>
      </w:r>
      <w:r>
        <w:rPr>
          <w:i/>
          <w:lang w:val="nl-NL"/>
        </w:rPr>
        <w:t>De orgelmakers Witte</w:t>
      </w:r>
      <w:r>
        <w:rPr>
          <w:lang w:val="nl-NL"/>
        </w:rPr>
        <w:t>. Heerenveen, 1997, 1154-1155.</w:t>
      </w:r>
    </w:p>
    <w:p>
      <w:pPr>
        <w:pStyle w:val="T3Lit"/>
        <w:jc w:val="start"/>
        <w:rPr/>
      </w:pPr>
      <w:r>
        <w:rPr>
          <w:bCs/>
          <w:lang w:val="nl-NL"/>
        </w:rPr>
        <w:t xml:space="preserve">Bert Wisgerhof, </w:t>
      </w:r>
      <w:r>
        <w:rPr>
          <w:bCs/>
          <w:i/>
          <w:lang w:val="nl-NL"/>
        </w:rPr>
        <w:t xml:space="preserve">Utrechts orgellandschap. </w:t>
      </w:r>
      <w:r>
        <w:rPr>
          <w:bCs/>
          <w:lang w:val="nl-NL"/>
        </w:rPr>
        <w:t>Amersfoort (1979), 94-96.</w:t>
      </w:r>
    </w:p>
    <w:p>
      <w:pPr>
        <w:pStyle w:val="T3Lit"/>
        <w:jc w:val="start"/>
        <w:rPr>
          <w:bCs/>
          <w:lang w:val="nl-NL"/>
        </w:rPr>
      </w:pPr>
      <w:r>
        <w:rPr>
          <w:bCs/>
          <w:lang w:val="nl-NL"/>
        </w:rPr>
      </w:r>
    </w:p>
    <w:p>
      <w:pPr>
        <w:pStyle w:val="T3Lit"/>
        <w:jc w:val="start"/>
        <w:rPr>
          <w:lang w:val="nl-NL"/>
        </w:rPr>
      </w:pPr>
      <w:r>
        <w:rPr>
          <w:b/>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26008</w:t>
      </w:r>
    </w:p>
    <w:p>
      <w:pPr>
        <w:pStyle w:val="T3Lit"/>
        <w:jc w:val="start"/>
        <w:rPr>
          <w:lang w:val="nl-NL"/>
        </w:rPr>
      </w:pPr>
      <w:r>
        <w:rPr>
          <w:lang w:val="nl-NL"/>
        </w:rPr>
        <w:t>Orgelnummer 2091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D.A.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1950</w:t>
      </w:r>
    </w:p>
    <w:p>
      <w:pPr>
        <w:pStyle w:val="T1"/>
        <w:jc w:val="start"/>
        <w:rPr>
          <w:lang w:val="nl-NL"/>
        </w:rPr>
      </w:pPr>
      <w:r>
        <w:rPr>
          <w:lang w:val="nl-NL"/>
        </w:rPr>
      </w:r>
    </w:p>
    <w:p>
      <w:pPr>
        <w:pStyle w:val="T1"/>
        <w:jc w:val="start"/>
        <w:rPr>
          <w:lang w:val="nl-NL"/>
        </w:rPr>
      </w:pPr>
      <w:r>
        <w:rPr>
          <w:lang w:val="nl-NL"/>
        </w:rPr>
        <w:t>1952</w:t>
      </w:r>
    </w:p>
    <w:p>
      <w:pPr>
        <w:pStyle w:val="T1"/>
        <w:jc w:val="start"/>
        <w:rPr>
          <w:lang w:val="nl-NL"/>
        </w:rPr>
      </w:pPr>
      <w:r>
        <w:rPr>
          <w:lang w:val="nl-NL"/>
        </w:rPr>
        <w:t>.</w:t>
        <w:tab/>
        <w:t>orgel beschadigd door lekkage</w:t>
      </w:r>
    </w:p>
    <w:p>
      <w:pPr>
        <w:pStyle w:val="T1"/>
        <w:jc w:val="start"/>
        <w:rPr>
          <w:lang w:val="nl-NL"/>
        </w:rPr>
      </w:pPr>
      <w:r>
        <w:rPr>
          <w:lang w:val="nl-NL"/>
        </w:rPr>
      </w:r>
    </w:p>
    <w:p>
      <w:pPr>
        <w:pStyle w:val="T1"/>
        <w:jc w:val="start"/>
        <w:rPr>
          <w:lang w:val="nl-NL"/>
        </w:rPr>
      </w:pPr>
      <w:r>
        <w:rPr>
          <w:lang w:val="nl-NL"/>
        </w:rPr>
        <w:t>Flentrop Orgelbouw 1981</w:t>
      </w:r>
    </w:p>
    <w:p>
      <w:pPr>
        <w:pStyle w:val="T1"/>
        <w:jc w:val="start"/>
        <w:rPr>
          <w:lang w:val="nl-NL"/>
        </w:rPr>
      </w:pPr>
      <w:r>
        <w:rPr>
          <w:lang w:val="nl-NL"/>
        </w:rPr>
        <w:t>.</w:t>
        <w:tab/>
        <w:t>grootste pijpen Octaaf 8' Ped hersteld</w:t>
      </w:r>
    </w:p>
    <w:p>
      <w:pPr>
        <w:pStyle w:val="T1"/>
        <w:jc w:val="start"/>
        <w:rPr>
          <w:lang w:val="nl-NL"/>
        </w:rPr>
      </w:pPr>
      <w:r>
        <w:rPr>
          <w:lang w:val="nl-NL"/>
        </w:rPr>
        <w:t>.</w:t>
        <w:tab/>
        <w:t>pedaalklavier hersteld</w:t>
      </w:r>
    </w:p>
    <w:p>
      <w:pPr>
        <w:pStyle w:val="T1"/>
        <w:jc w:val="start"/>
        <w:rPr>
          <w:lang w:val="nl-NL"/>
        </w:rPr>
      </w:pPr>
      <w:r>
        <w:rPr>
          <w:lang w:val="nl-NL"/>
        </w:rPr>
      </w:r>
    </w:p>
    <w:p>
      <w:pPr>
        <w:pStyle w:val="T1"/>
        <w:jc w:val="start"/>
        <w:rPr>
          <w:lang w:val="nl-NL"/>
        </w:rPr>
      </w:pPr>
      <w:r>
        <w:rPr>
          <w:lang w:val="nl-NL"/>
        </w:rPr>
        <w:t>Flentrop Orgelbouw 1983</w:t>
      </w:r>
    </w:p>
    <w:p>
      <w:pPr>
        <w:pStyle w:val="T1"/>
        <w:jc w:val="start"/>
        <w:rPr>
          <w:lang w:val="nl-NL"/>
        </w:rPr>
      </w:pPr>
      <w:r>
        <w:rPr>
          <w:lang w:val="nl-NL"/>
        </w:rPr>
        <w:t>.</w:t>
        <w:tab/>
        <w:t>intonatie gecorrigeerd</w:t>
      </w:r>
    </w:p>
    <w:p>
      <w:pPr>
        <w:pStyle w:val="T1"/>
        <w:jc w:val="start"/>
        <w:rPr>
          <w:lang w:val="nl-NL"/>
        </w:rPr>
      </w:pPr>
      <w:r>
        <w:rPr>
          <w:lang w:val="nl-NL"/>
        </w:rPr>
      </w:r>
    </w:p>
    <w:p>
      <w:pPr>
        <w:pStyle w:val="T1"/>
        <w:jc w:val="start"/>
        <w:rPr>
          <w:lang w:val="nl-NL"/>
        </w:rPr>
      </w:pPr>
      <w:r>
        <w:rPr>
          <w:lang w:val="nl-NL"/>
        </w:rPr>
        <w:t>Flentrop Orgelbouw 1987</w:t>
      </w:r>
    </w:p>
    <w:p>
      <w:pPr>
        <w:pStyle w:val="T1"/>
        <w:jc w:val="start"/>
        <w:rPr>
          <w:lang w:val="nl-NL"/>
        </w:rPr>
      </w:pPr>
      <w:r>
        <w:rPr>
          <w:lang w:val="nl-NL"/>
        </w:rPr>
        <w:t>.</w:t>
        <w:tab/>
        <w:t>schoonmaak en herstel</w:t>
      </w:r>
    </w:p>
    <w:p>
      <w:pPr>
        <w:pStyle w:val="T1"/>
        <w:jc w:val="start"/>
        <w:rPr>
          <w:lang w:val="nl-NL"/>
        </w:rPr>
      </w:pPr>
      <w:r>
        <w:rPr>
          <w:lang w:val="nl-NL"/>
        </w:rPr>
        <w:t>.</w:t>
        <w:tab/>
        <w:t>toetsen handklavieren van nieuw beleg voorzien</w:t>
      </w:r>
    </w:p>
    <w:p>
      <w:pPr>
        <w:pStyle w:val="T1"/>
        <w:jc w:val="start"/>
        <w:rPr>
          <w:lang w:val="nl-NL"/>
        </w:rPr>
      </w:pPr>
      <w:r>
        <w:rPr>
          <w:lang w:val="nl-NL"/>
        </w:rPr>
        <w:t>.</w:t>
        <w:tab/>
        <w:t>+ koppel Ped-RP</w:t>
      </w:r>
    </w:p>
    <w:p>
      <w:pPr>
        <w:pStyle w:val="T1"/>
        <w:jc w:val="start"/>
        <w:rPr>
          <w:lang w:val="nl-NL"/>
        </w:rPr>
      </w:pPr>
      <w:r>
        <w:rPr>
          <w:lang w:val="nl-NL"/>
        </w:rPr>
      </w:r>
    </w:p>
    <w:p>
      <w:pPr>
        <w:pStyle w:val="T1"/>
        <w:jc w:val="start"/>
        <w:rPr>
          <w:lang w:val="nl-NL"/>
        </w:rPr>
      </w:pPr>
      <w:r>
        <w:rPr>
          <w:lang w:val="nl-NL"/>
        </w:rPr>
        <w:t>Flentrop Orgelbouw 1997</w:t>
      </w:r>
    </w:p>
    <w:p>
      <w:pPr>
        <w:pStyle w:val="T1"/>
        <w:jc w:val="start"/>
        <w:rPr>
          <w:lang w:val="nl-NL"/>
        </w:rPr>
      </w:pPr>
      <w:r>
        <w:rPr>
          <w:lang w:val="nl-NL"/>
        </w:rPr>
        <w:t>.</w:t>
        <w:tab/>
        <w:t>balg opnieuw beleerd</w:t>
      </w:r>
    </w:p>
    <w:p>
      <w:pPr>
        <w:pStyle w:val="T1"/>
        <w:jc w:val="start"/>
        <w:rPr>
          <w:lang w:val="nl-NL"/>
        </w:rPr>
      </w:pPr>
      <w:r>
        <w:rPr>
          <w:lang w:val="nl-NL"/>
        </w:rPr>
      </w:r>
    </w:p>
    <w:p>
      <w:pPr>
        <w:pStyle w:val="T1"/>
        <w:jc w:val="start"/>
        <w:rPr>
          <w:lang w:val="nl-NL"/>
        </w:rPr>
      </w:pPr>
      <w:r>
        <w:rPr>
          <w:lang w:val="nl-NL"/>
        </w:rPr>
        <w:t>Flentrop Orgelbouw 2004</w:t>
      </w:r>
    </w:p>
    <w:p>
      <w:pPr>
        <w:pStyle w:val="T1"/>
        <w:jc w:val="start"/>
        <w:rPr>
          <w:lang w:val="nl-NL"/>
        </w:rPr>
      </w:pPr>
      <w:r>
        <w:rPr>
          <w:lang w:val="nl-NL"/>
        </w:rPr>
        <w:t>.</w:t>
        <w:tab/>
        <w:t>schoonmaak en herstel</w:t>
      </w:r>
    </w:p>
    <w:p>
      <w:pPr>
        <w:pStyle w:val="T1"/>
        <w:jc w:val="start"/>
        <w:rPr>
          <w:lang w:val="nl-NL"/>
        </w:rPr>
      </w:pPr>
      <w:r>
        <w:rPr>
          <w:lang w:val="nl-NL"/>
        </w:rPr>
        <w:t>.</w:t>
        <w:tab/>
        <w:t>tremulant RP toegevoegd</w:t>
      </w:r>
    </w:p>
    <w:p>
      <w:pPr>
        <w:pStyle w:val="T1"/>
        <w:jc w:val="start"/>
        <w:rPr>
          <w:lang w:val="nl-NL"/>
        </w:rPr>
      </w:pPr>
      <w:r>
        <w:rPr>
          <w:lang w:val="nl-NL"/>
        </w:rPr>
        <w:t>.</w:t>
        <w:tab/>
        <w:t>Dulciaan 16' deels vernieuwd</w:t>
      </w:r>
    </w:p>
    <w:p>
      <w:pPr>
        <w:pStyle w:val="T1"/>
        <w:jc w:val="start"/>
        <w:rPr>
          <w:lang w:val="nl-NL"/>
        </w:rPr>
      </w:pPr>
      <w:r>
        <w:rPr>
          <w:lang w:val="nl-NL"/>
        </w:rPr>
      </w:r>
    </w:p>
    <w:p>
      <w:pPr>
        <w:pStyle w:val="T1"/>
        <w:jc w:val="start"/>
        <w:rPr>
          <w:lang w:val="nl-NL"/>
        </w:rPr>
      </w:pPr>
      <w:r>
        <w:rPr>
          <w:lang w:val="nl-NL"/>
        </w:rPr>
        <w:t>Flentrop Orgelbouw 2009</w:t>
      </w:r>
    </w:p>
    <w:p>
      <w:pPr>
        <w:pStyle w:val="T1"/>
        <w:jc w:val="start"/>
        <w:rPr>
          <w:lang w:val="nl-NL"/>
        </w:rPr>
      </w:pPr>
      <w:r>
        <w:rPr>
          <w:lang w:val="nl-NL"/>
        </w:rPr>
        <w:t>.</w:t>
        <w:tab/>
        <w:t>RP - Regaal 8', + Dulciaan 8' met behoud bestaande stevels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Spitsquint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Dulciaan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6 st.</w:t>
            </w:r>
          </w:p>
          <w:p>
            <w:pPr>
              <w:pStyle w:val="T4dispositie"/>
              <w:jc w:val="start"/>
              <w:rPr>
                <w:lang w:val="nl-NL"/>
              </w:rPr>
            </w:pPr>
            <w:r>
              <w:rPr>
                <w:lang w:val="nl-NL"/>
              </w:rPr>
              <w:t>16'</w:t>
            </w:r>
          </w:p>
        </w:tc>
        <w:tc>
          <w:tcPr>
            <w:tcW w:w="1620" w:type="dxa"/>
            <w:tcBorders/>
          </w:tcPr>
          <w:p>
            <w:pPr>
              <w:pStyle w:val="T4dispositie"/>
              <w:jc w:val="start"/>
              <w:rPr>
                <w:lang w:val="nl-NL"/>
              </w:rPr>
            </w:pPr>
            <w:r>
              <w:rPr>
                <w:i/>
                <w:iCs/>
                <w:lang w:val="nl-NL"/>
              </w:rPr>
              <w:t>Rugpositief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Scherp</w:t>
            </w:r>
          </w:p>
          <w:p>
            <w:pPr>
              <w:pStyle w:val="T4dispositie"/>
              <w:jc w:val="start"/>
              <w:rPr>
                <w:lang w:val="nl-NL"/>
              </w:rPr>
            </w:pPr>
            <w:r>
              <w:rPr>
                <w:lang w:val="nl-NL"/>
              </w:rPr>
              <w:t>Dulciaan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1/2'</w:t>
            </w:r>
          </w:p>
          <w:p>
            <w:pPr>
              <w:pStyle w:val="T4dispositie"/>
              <w:jc w:val="start"/>
              <w:rPr>
                <w:lang w:val="nl-NL"/>
              </w:rPr>
            </w:pPr>
            <w:r>
              <w:rPr>
                <w:lang w:val="nl-NL"/>
              </w:rPr>
              <w:t>4-5 st.</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Nachthoorn</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w:t>
      </w:r>
    </w:p>
    <w:p>
      <w:pPr>
        <w:pStyle w:val="T1"/>
        <w:jc w:val="start"/>
        <w:rPr>
          <w:lang w:val="nl-NL"/>
        </w:rPr>
      </w:pPr>
      <w:r>
        <w:rPr>
          <w:lang w:val="nl-NL"/>
        </w:rPr>
      </w:r>
    </w:p>
    <w:p>
      <w:pPr>
        <w:pStyle w:val="T1"/>
        <w:jc w:val="start"/>
        <w:rPr>
          <w:lang w:val="nl-NL"/>
        </w:rPr>
      </w:pPr>
      <w:r>
        <w:rPr>
          <w:szCs w:val="24"/>
          <w:lang w:val="nl-NL"/>
        </w:rPr>
        <w:t>Samenstelling vulstemmen</w:t>
      </w:r>
    </w:p>
    <w:tbl>
      <w:tblPr>
        <w:tblW w:w="5198" w:type="dxa"/>
        <w:jc w:val="start"/>
        <w:tblInd w:w="-70" w:type="dxa"/>
        <w:tblLayout w:type="fixed"/>
        <w:tblCellMar>
          <w:top w:w="0" w:type="dxa"/>
          <w:start w:w="70" w:type="dxa"/>
          <w:bottom w:w="0" w:type="dxa"/>
          <w:end w:w="70" w:type="dxa"/>
        </w:tblCellMar>
      </w:tblPr>
      <w:tblGrid>
        <w:gridCol w:w="1507"/>
        <w:gridCol w:w="736"/>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szCs w:val="24"/>
          <w:lang w:val="nl-NL"/>
        </w:rPr>
      </w:pPr>
      <w:r>
        <w:rPr>
          <w:szCs w:val="24"/>
          <w:lang w:val="nl-NL"/>
        </w:rPr>
      </w:r>
    </w:p>
    <w:tbl>
      <w:tblPr>
        <w:tblW w:w="5198" w:type="dxa"/>
        <w:jc w:val="start"/>
        <w:tblInd w:w="-70" w:type="dxa"/>
        <w:tblLayout w:type="fixed"/>
        <w:tblCellMar>
          <w:top w:w="0" w:type="dxa"/>
          <w:start w:w="70" w:type="dxa"/>
          <w:bottom w:w="0" w:type="dxa"/>
          <w:end w:w="70" w:type="dxa"/>
        </w:tblCellMar>
      </w:tblPr>
      <w:tblGrid>
        <w:gridCol w:w="1507"/>
        <w:gridCol w:w="736"/>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Scherp RP</w:t>
            </w:r>
          </w:p>
        </w:tc>
        <w:tc>
          <w:tcPr>
            <w:tcW w:w="736"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36" w:type="dxa"/>
            <w:tcBorders/>
          </w:tcPr>
          <w:p>
            <w:pPr>
              <w:pStyle w:val="T4dispositie"/>
              <w:rPr>
                <w:lang w:val="nl-NL"/>
              </w:rPr>
            </w:pPr>
            <w:r>
              <w:rPr>
                <w:lang w:val="nl-NL"/>
              </w:rPr>
              <w:t>H</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lang w:val="nl-NL"/>
              </w:rPr>
            </w:pPr>
            <w:r>
              <w:rPr>
                <w:lang w:val="nl-NL"/>
              </w:rPr>
              <w:t>b</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a</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736" w:type="dxa"/>
            <w:tcBorders/>
          </w:tcPr>
          <w:p>
            <w:pPr>
              <w:pStyle w:val="T4dispositie"/>
              <w:rPr/>
            </w:pPr>
            <w:r>
              <w:rPr>
                <w:lang w:val="nl-NL"/>
              </w:rPr>
              <w:t>gis</w:t>
            </w:r>
            <w:r>
              <w:rPr>
                <w:vertAlign w:val="superscript"/>
                <w:lang w:val="nl-NL"/>
              </w:rPr>
              <w:t>2</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rolbalg met beweegbare ladebodems</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Cs w:val="24"/>
          <w:lang w:val="nl-NL"/>
        </w:rPr>
      </w:pPr>
      <w:r>
        <w:rPr>
          <w:i/>
          <w:iCs/>
          <w:szCs w:val="24"/>
          <w:lang w:val="nl-NL"/>
        </w:rPr>
      </w:r>
    </w:p>
    <w:p>
      <w:pPr>
        <w:pStyle w:val="T1"/>
        <w:jc w:val="start"/>
        <w:rPr/>
      </w:pPr>
      <w:r>
        <w:rPr>
          <w:szCs w:val="24"/>
          <w:lang w:val="nl-NL"/>
        </w:rPr>
        <w:t>Alle frontpijpen zijn sprekend, met uitzondering van de bovenveldjes van het RP. De frontpijpen zijn van 90% tin, het metalen binnenpijpwerk is van 40% tin. C-H van de Roerfluit 8</w:t>
      </w:r>
      <w:r>
        <w:rPr>
          <w:lang w:val="nl-NL"/>
        </w:rPr>
        <w:t>'</w:t>
      </w:r>
      <w:r>
        <w:rPr>
          <w:szCs w:val="24"/>
          <w:lang w:val="nl-NL"/>
        </w:rPr>
        <w:t xml:space="preserve"> en de gehele Subbas 16</w:t>
      </w:r>
      <w:r>
        <w:rPr>
          <w:lang w:val="nl-NL"/>
        </w:rPr>
        <w:t>'</w:t>
      </w:r>
      <w:r>
        <w:rPr>
          <w:szCs w:val="24"/>
          <w:lang w:val="nl-NL"/>
        </w:rPr>
        <w:t xml:space="preserve"> zijn van eikenhout.</w:t>
      </w:r>
    </w:p>
    <w:p>
      <w:pPr>
        <w:pStyle w:val="T1"/>
        <w:jc w:val="start"/>
        <w:rPr>
          <w:szCs w:val="24"/>
          <w:lang w:val="nl-NL"/>
        </w:rPr>
      </w:pPr>
      <w:r>
        <w:rPr>
          <w:szCs w:val="24"/>
          <w:lang w:val="nl-NL"/>
        </w:rPr>
        <w:t>De windladen zijn van eiken met masonite dekplaten; de roosters zijn van mahonie. De balg en de kanalen zijn van oregonpine.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andaardalinealettertype">
    <w:name w:val="Standaardalinea-lettertype"/>
    <w:qFormat/>
    <w:rPr/>
  </w:style>
  <w:style w:type="character" w:styleId="FootnoteCharacters">
    <w:name w:val="Foot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2010-03-23T16:45:00Z</dcterms:created>
  <dc:creator>WS1</dc:creator>
  <dc:description/>
  <dc:language>en-US</dc:language>
  <cp:lastModifiedBy>NIvO</cp:lastModifiedBy>
  <dcterms:modified xsi:type="dcterms:W3CDTF">2010-03-23T17:01:00Z</dcterms:modified>
  <cp:revision>4</cp:revision>
  <dc:subject/>
  <dc:title>Zeeland / 1895</dc:title>
</cp:coreProperties>
</file>