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Rotterdam / 1950</w:t>
      </w:r>
    </w:p>
    <w:p>
      <w:pPr>
        <w:pStyle w:val="Heading2"/>
        <w:tabs>
          <w:tab w:val="clear" w:pos="708"/>
          <w:tab w:val="left" w:pos="0" w:leader="none"/>
        </w:tabs>
        <w:ind w:start="0" w:end="0" w:hanging="0"/>
        <w:rPr/>
      </w:pPr>
      <w:r>
        <w:rPr>
          <w:i w:val="false"/>
          <w:iCs/>
        </w:rPr>
        <w:t>Den Norske Sj</w:t>
      </w:r>
      <w:r>
        <w:rPr>
          <w:rFonts w:cs="Arial"/>
          <w:i w:val="false"/>
          <w:iCs/>
        </w:rPr>
        <w:t>ø</w:t>
      </w:r>
      <w:r>
        <w:rPr>
          <w:i w:val="false"/>
          <w:iCs/>
        </w:rPr>
        <w:t>mannskirke</w:t>
      </w:r>
    </w:p>
    <w:p>
      <w:pPr>
        <w:pStyle w:val="Normal"/>
        <w:rPr>
          <w:rFonts w:ascii="Times New Roman" w:hAnsi="Times New Roman" w:cs="Times New Roman"/>
          <w:i/>
          <w:i/>
          <w:iCs/>
        </w:rPr>
      </w:pPr>
      <w:r>
        <w:rPr>
          <w:rFonts w:cs="Times New Roman" w:ascii="Times New Roman" w:hAnsi="Times New Roman"/>
          <w:i/>
          <w:iCs/>
        </w:rPr>
      </w:r>
    </w:p>
    <w:p>
      <w:pPr>
        <w:pStyle w:val="T1"/>
        <w:jc w:val="start"/>
        <w:rPr>
          <w:i/>
          <w:i/>
          <w:iCs/>
        </w:rPr>
      </w:pPr>
      <w:r>
        <w:rPr>
          <w:i/>
          <w:iCs/>
        </w:rPr>
        <w:t>Houten kerkgebouw gebouwd in 1914 naar ontwerp van de Noorse architecten A. Arneberg en M. Poulsson in de stijl van de Noorse Nationalistische Romantische beweging. In 1937 verplaatst, in 1941 beschadigd en in 1948 hersteld.</w:t>
      </w:r>
      <w:r>
        <w:rPr>
          <w:i/>
          <w:iCs/>
          <w:szCs w:val="25"/>
        </w:rPr>
        <w:t xml:space="preserve"> Op de houten wanden en het plafond in het interieur van de kerk bevinden zich muurschilderingen in warme aardse tinten (roodbruin, blauw, bruin en groen in zwarte contouren) van de hand van de Noorse kunstschilder-restaurator Domenico Erdman (1879-1940). De achtergrond van de muurschilderingen wordt gevormd door gestileerde acanthusranken. </w:t>
      </w:r>
      <w:r>
        <w:rPr>
          <w:i/>
          <w:iCs/>
          <w:szCs w:val="25"/>
          <w:lang w:val="nl-NL"/>
        </w:rPr>
        <w:t xml:space="preserve">Hiertussen bevinden zich christelijke motieven als pauwen, druiventrossen en de wijnboom. De decoraties zijn in omlijste vlakken, gedeeltelijk symmetrisch, op de wand aangebracht. Langs het schuine gedeelte van het dak loopt een fries met elf apostelen (Judas ontbreekt), terwijl Christus centraal boven de koorboog is afgebeeld. </w:t>
      </w:r>
      <w:r>
        <w:rPr>
          <w:i/>
          <w:iCs/>
          <w:szCs w:val="25"/>
        </w:rPr>
        <w:t>Gebrandschilderde vensters uit 1951 vervaardigd door Max Weiss.</w:t>
      </w:r>
    </w:p>
    <w:p>
      <w:pPr>
        <w:pStyle w:val="T1"/>
        <w:jc w:val="start"/>
        <w:rPr>
          <w:i/>
          <w:i/>
          <w:iCs/>
          <w:lang w:val="nl-NL"/>
        </w:rPr>
      </w:pPr>
      <w:r>
        <w:rPr>
          <w:i/>
          <w:iCs/>
          <w:lang w:val="nl-NL"/>
        </w:rPr>
      </w:r>
    </w:p>
    <w:p>
      <w:pPr>
        <w:pStyle w:val="T1"/>
        <w:jc w:val="start"/>
        <w:rPr>
          <w:lang w:val="nl-NL"/>
        </w:rPr>
      </w:pPr>
      <w:r>
        <w:rPr>
          <w:lang w:val="nl-NL"/>
        </w:rPr>
        <w:t>Kas: 1950</w:t>
      </w:r>
    </w:p>
    <w:p>
      <w:pPr>
        <w:pStyle w:val="T1"/>
        <w:jc w:val="start"/>
        <w:rPr>
          <w:szCs w:val="24"/>
          <w:lang w:val="nl-NL"/>
        </w:rPr>
      </w:pPr>
      <w:r>
        <w:rPr>
          <w:szCs w:val="24"/>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pPr>
      <w:r>
        <w:rPr/>
        <w:t xml:space="preserve">Het orgel is volledig geïntegreerd in het kerkinterieur en is qua vormgeving bepaald uniek. </w:t>
      </w:r>
      <w:r>
        <w:rPr>
          <w:lang w:val="nl-NL"/>
        </w:rPr>
        <w:t xml:space="preserve">Het instrument staat op de torenzolder, de speeltafel is beneden in de kerkzaal geplaatst. Hoofdwerk en pedaal hebben geen front; het pijpwerk staat opgesteld aan de linker- en de rechterzijde van het ‘Positief’, dat wel een front heeft en vooruitsteekt. </w:t>
      </w:r>
      <w:r>
        <w:rPr/>
        <w:t xml:space="preserve">Het Positief heeft een onderbouw die is beschilderd met drie verticale bloemranken. </w:t>
      </w:r>
      <w:r>
        <w:rPr>
          <w:lang w:val="nl-NL"/>
        </w:rPr>
        <w:t>De zijwanden van de bovenbouw worden gevormd door de houten pijpen (C-H) van de Quintadeen 8', in hele tonen qua grootte van achteren naar voren aflopend. Een situering die doet denken aan 19e-eeuwse Engelse orgels. Vooraan in het front staan C-bes van de (eng gemensureerde) Open Fluit 4'; C staat in het midden en het pijpwerk loopt qua lengte naar weerszijden in hele tonen af, met een daarmee contrasterend V-vormig labiumverloop. Voor het hoofdwerk en het pedaal zijn een houten onderbouw en daar boven opengewerkte houten panelen geplaatst. De onderbouw toont een fantasierijke beschildering met onder meer engelen en C-voluten, het beschilderde snijwerk in de panelen bevat onder andere rozetten en samengevlochten S-voluten, waarin kopjes zijn aangebracht.</w:t>
      </w:r>
    </w:p>
    <w:p>
      <w:pPr>
        <w:pStyle w:val="T2Kunst"/>
        <w:jc w:val="start"/>
        <w:rPr>
          <w:lang w:val="nl-NL"/>
        </w:rPr>
      </w:pPr>
      <w:r>
        <w:rPr>
          <w:lang w:val="nl-NL"/>
        </w:rPr>
      </w:r>
    </w:p>
    <w:p>
      <w:pPr>
        <w:pStyle w:val="T3Lit"/>
        <w:rPr/>
      </w:pPr>
      <w:r>
        <w:rPr/>
        <w:t>Literatuur</w:t>
      </w:r>
    </w:p>
    <w:p>
      <w:pPr>
        <w:pStyle w:val="T3Lit"/>
        <w:jc w:val="start"/>
        <w:rPr/>
      </w:pPr>
      <w:r>
        <w:rPr>
          <w:b w:val="false"/>
          <w:bCs w:val="false"/>
          <w:i/>
          <w:iCs/>
        </w:rPr>
        <w:t>De Mixtuur</w:t>
      </w:r>
      <w:r>
        <w:rPr>
          <w:b w:val="false"/>
          <w:bCs w:val="false"/>
        </w:rPr>
        <w:t>, 80 (1995), 1008.</w:t>
      </w:r>
    </w:p>
    <w:p>
      <w:pPr>
        <w:pStyle w:val="T3Lit"/>
        <w:jc w:val="start"/>
        <w:rPr/>
      </w:pPr>
      <w:r>
        <w:rPr>
          <w:b w:val="false"/>
          <w:bCs w:val="false"/>
        </w:rPr>
        <w:t xml:space="preserve">Jan van Bommel Jzn., </w:t>
      </w:r>
      <w:r>
        <w:rPr>
          <w:b w:val="false"/>
          <w:bCs w:val="false"/>
          <w:i/>
          <w:iCs/>
        </w:rPr>
        <w:t>Daar kerkte Rotterdam</w:t>
      </w:r>
      <w:r>
        <w:rPr>
          <w:b w:val="false"/>
          <w:bCs w:val="false"/>
        </w:rPr>
        <w:t>. Leiden, 1965, 168.</w:t>
      </w:r>
    </w:p>
    <w:p>
      <w:pPr>
        <w:pStyle w:val="T3Lit"/>
        <w:jc w:val="start"/>
        <w:rPr/>
      </w:pPr>
      <w:r>
        <w:rPr>
          <w:b w:val="false"/>
          <w:bCs w:val="false"/>
        </w:rPr>
        <w:t xml:space="preserve">Peter van Dijk en Jan Jongepier, </w:t>
      </w:r>
      <w:r>
        <w:rPr>
          <w:b w:val="false"/>
          <w:bCs w:val="false"/>
          <w:i/>
          <w:iCs/>
        </w:rPr>
        <w:t>Vernieuwing versus voortzetting</w:t>
      </w:r>
      <w:r>
        <w:rPr>
          <w:b w:val="false"/>
          <w:bCs w:val="false"/>
        </w:rPr>
        <w:t xml:space="preserve">. In: Hans Fidom (red.), </w:t>
      </w:r>
      <w:r>
        <w:rPr>
          <w:b w:val="false"/>
          <w:bCs w:val="false"/>
          <w:i/>
          <w:iCs/>
        </w:rPr>
        <w:t>Orgels van de Wederopbouw. Nederlandse orgelmonografieën 8</w:t>
      </w:r>
      <w:r>
        <w:rPr>
          <w:b w:val="false"/>
          <w:bCs w:val="false"/>
        </w:rPr>
        <w:t>. Zutphen, 2006, 44-45.</w:t>
      </w:r>
    </w:p>
    <w:p>
      <w:pPr>
        <w:pStyle w:val="T3Lit"/>
        <w:rPr>
          <w:b w:val="false"/>
          <w:b w:val="false"/>
          <w:bCs w:val="false"/>
        </w:rPr>
      </w:pPr>
      <w:r>
        <w:rPr>
          <w:b w:val="false"/>
          <w:bCs w:val="false"/>
        </w:rPr>
      </w:r>
    </w:p>
    <w:p>
      <w:pPr>
        <w:pStyle w:val="T3Lit"/>
        <w:rPr/>
      </w:pPr>
      <w:r>
        <w:rPr/>
        <w:t>Niet gepubliceerde bronnen</w:t>
      </w:r>
    </w:p>
    <w:p>
      <w:pPr>
        <w:pStyle w:val="T3Lit"/>
        <w:rPr>
          <w:b w:val="false"/>
          <w:b w:val="false"/>
          <w:bCs w:val="false"/>
          <w:szCs w:val="24"/>
        </w:rPr>
      </w:pPr>
      <w:r>
        <w:rPr>
          <w:b w:val="false"/>
          <w:bCs w:val="false"/>
          <w:szCs w:val="24"/>
        </w:rPr>
        <w:t>Archief Pels &amp; Van Leeuwen.</w:t>
      </w:r>
    </w:p>
    <w:p>
      <w:pPr>
        <w:pStyle w:val="T3Lit"/>
        <w:rPr>
          <w:b w:val="false"/>
          <w:b w:val="false"/>
          <w:bCs w:val="false"/>
          <w:szCs w:val="24"/>
        </w:rPr>
      </w:pPr>
      <w:r>
        <w:rPr>
          <w:b w:val="false"/>
          <w:bCs w:val="false"/>
          <w:szCs w:val="24"/>
        </w:rPr>
        <w:t>Orgelarchief Peter van Dijk.</w:t>
      </w:r>
    </w:p>
    <w:p>
      <w:pPr>
        <w:pStyle w:val="T3Lit"/>
        <w:rPr>
          <w:b w:val="false"/>
          <w:b w:val="false"/>
          <w:bCs w:val="false"/>
          <w:szCs w:val="24"/>
        </w:rPr>
      </w:pPr>
      <w:r>
        <w:rPr>
          <w:b w:val="false"/>
          <w:bCs w:val="false"/>
          <w:szCs w:val="24"/>
        </w:rPr>
      </w:r>
    </w:p>
    <w:p>
      <w:pPr>
        <w:pStyle w:val="T3Lit"/>
        <w:rPr>
          <w:b w:val="false"/>
          <w:b w:val="false"/>
          <w:bCs w:val="false"/>
          <w:szCs w:val="24"/>
        </w:rPr>
      </w:pPr>
      <w:r>
        <w:rPr>
          <w:b w:val="false"/>
          <w:bCs w:val="false"/>
          <w:szCs w:val="24"/>
        </w:rPr>
        <w:t>Monumentnummer 513906</w:t>
      </w:r>
    </w:p>
    <w:p>
      <w:pPr>
        <w:pStyle w:val="T3Lit"/>
        <w:rPr>
          <w:b w:val="false"/>
          <w:b w:val="false"/>
          <w:bCs w:val="false"/>
          <w:szCs w:val="24"/>
        </w:rPr>
      </w:pPr>
      <w:r>
        <w:rPr>
          <w:b w:val="false"/>
          <w:bCs w:val="false"/>
          <w:szCs w:val="24"/>
        </w:rPr>
        <w:t>Orgelnummer 2295</w:t>
      </w:r>
    </w:p>
    <w:p>
      <w:pPr>
        <w:pStyle w:val="T3Lit"/>
        <w:rPr>
          <w:b w:val="false"/>
          <w:b w:val="false"/>
          <w:bCs w:val="false"/>
          <w:szCs w:val="24"/>
        </w:rPr>
      </w:pPr>
      <w:r>
        <w:rPr>
          <w:b w:val="false"/>
          <w:bCs w:val="false"/>
          <w:szCs w:val="24"/>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Leeuwen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1950</w:t>
      </w:r>
    </w:p>
    <w:p>
      <w:pPr>
        <w:pStyle w:val="T1"/>
        <w:jc w:val="start"/>
        <w:rPr>
          <w:sz w:val="20"/>
          <w:lang w:val="nl-NL"/>
        </w:rPr>
      </w:pPr>
      <w:r>
        <w:rPr>
          <w:sz w:val="20"/>
          <w:lang w:val="nl-NL"/>
        </w:rPr>
      </w:r>
    </w:p>
    <w:p>
      <w:pPr>
        <w:pStyle w:val="T1"/>
        <w:jc w:val="start"/>
        <w:rPr>
          <w:lang w:val="nl-NL"/>
        </w:rPr>
      </w:pPr>
      <w:r>
        <w:rPr>
          <w:lang w:val="nl-NL"/>
        </w:rPr>
        <w:t>Willem van Leeuwen Gzn 196.</w:t>
      </w:r>
    </w:p>
    <w:p>
      <w:pPr>
        <w:pStyle w:val="T1"/>
        <w:numPr>
          <w:ilvl w:val="0"/>
          <w:numId w:val="2"/>
        </w:numPr>
        <w:jc w:val="start"/>
        <w:rPr>
          <w:lang w:val="nl-NL"/>
        </w:rPr>
      </w:pPr>
      <w:r>
        <w:rPr>
          <w:lang w:val="nl-NL"/>
        </w:rPr>
        <w:t>HW + Nasard 2 2/3' (op voor een Hobo 8' gereserveerde plaats)</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snapToGrid w:val="fals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Spitsgamba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Mixtuur</w:t>
            </w:r>
          </w:p>
          <w:p>
            <w:pPr>
              <w:pStyle w:val="T4dispositie"/>
              <w:rPr>
                <w:lang w:val="nl-NL"/>
              </w:rPr>
            </w:pPr>
            <w:r>
              <w:rPr>
                <w:lang w:val="nl-NL"/>
              </w:rPr>
              <w:t>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en-GB"/>
              </w:rPr>
            </w:pPr>
            <w:r>
              <w:rPr>
                <w:lang w:val="nl-NL"/>
              </w:rPr>
              <w:t>4'</w:t>
            </w:r>
          </w:p>
          <w:p>
            <w:pPr>
              <w:pStyle w:val="T4dispositie"/>
              <w:rPr>
                <w:lang w:val="en-GB"/>
              </w:rPr>
            </w:pPr>
            <w:r>
              <w:rPr>
                <w:lang w:val="en-GB"/>
              </w:rPr>
              <w:t>2-4 st.</w:t>
            </w:r>
          </w:p>
          <w:p>
            <w:pPr>
              <w:pStyle w:val="T4dispositie"/>
              <w:rPr>
                <w:lang w:val="nl-NL"/>
              </w:rPr>
            </w:pPr>
            <w:r>
              <w:rPr>
                <w:lang w:val="nl-NL"/>
              </w:rPr>
              <w:t>8'</w:t>
            </w:r>
          </w:p>
        </w:tc>
        <w:tc>
          <w:tcPr>
            <w:tcW w:w="1440" w:type="dxa"/>
            <w:tcBorders/>
          </w:tcPr>
          <w:p>
            <w:pPr>
              <w:pStyle w:val="T4dispositie"/>
              <w:snapToGrid w:val="false"/>
              <w:rPr>
                <w:i/>
                <w:i/>
                <w:lang w:val="nl-NL"/>
              </w:rPr>
            </w:pPr>
            <w:r>
              <w:rPr>
                <w:i/>
                <w:lang w:val="nl-NL"/>
              </w:rPr>
              <w:t>Positief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Quintadeen</w:t>
            </w:r>
          </w:p>
          <w:p>
            <w:pPr>
              <w:pStyle w:val="T4dispositie"/>
              <w:rPr>
                <w:lang w:val="nl-NL"/>
              </w:rPr>
            </w:pPr>
            <w:r>
              <w:rPr>
                <w:lang w:val="nl-NL"/>
              </w:rPr>
              <w:t>Open Fluit</w:t>
            </w:r>
          </w:p>
          <w:p>
            <w:pPr>
              <w:pStyle w:val="T4dispositie"/>
              <w:rPr>
                <w:lang w:val="nl-NL"/>
              </w:rPr>
            </w:pPr>
            <w:r>
              <w:rPr>
                <w:lang w:val="nl-NL"/>
              </w:rPr>
              <w:t>Speelfluit</w:t>
            </w:r>
          </w:p>
          <w:p>
            <w:pPr>
              <w:pStyle w:val="T4dispositie"/>
              <w:rPr>
                <w:lang w:val="nl-NL"/>
              </w:rPr>
            </w:pPr>
            <w:r>
              <w:rPr>
                <w:lang w:val="nl-NL"/>
              </w:rPr>
              <w:t>Sexquialter</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1080" w:type="dxa"/>
            <w:tcBorders/>
          </w:tcPr>
          <w:p>
            <w:pPr>
              <w:pStyle w:val="T4dispositie"/>
              <w:snapToGrid w:val="false"/>
              <w:rPr>
                <w:i/>
                <w:i/>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fr-FR"/>
              </w:rPr>
            </w:pPr>
            <w:r>
              <w:rPr>
                <w:lang w:val="fr-FR"/>
              </w:rPr>
              <w:t>Subbas</w:t>
            </w:r>
          </w:p>
          <w:p>
            <w:pPr>
              <w:pStyle w:val="T4dispositie"/>
              <w:rPr>
                <w:lang w:val="fr-FR"/>
              </w:rPr>
            </w:pPr>
            <w:r>
              <w:rPr>
                <w:lang w:val="fr-FR"/>
              </w:rPr>
              <w:t>Praestant</w:t>
            </w:r>
          </w:p>
          <w:p>
            <w:pPr>
              <w:pStyle w:val="T4dispositie"/>
              <w:rPr>
                <w:lang w:val="fr-FR"/>
              </w:rPr>
            </w:pPr>
            <w:r>
              <w:rPr>
                <w:lang w:val="fr-FR"/>
              </w:rPr>
              <w:t>Bourdon</w:t>
            </w:r>
          </w:p>
        </w:tc>
        <w:tc>
          <w:tcPr>
            <w:tcW w:w="54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nl-NL"/>
              </w:rPr>
            </w:pPr>
            <w:r>
              <w:rPr>
                <w:lang w:val="nl-NL"/>
              </w:rPr>
              <w:t>16'</w:t>
            </w:r>
          </w:p>
          <w:p>
            <w:pPr>
              <w:pStyle w:val="T4dispositie"/>
              <w:rPr>
                <w:lang w:val="nl-NL"/>
              </w:rPr>
            </w:pPr>
            <w:r>
              <w:rPr>
                <w:lang w:val="nl-NL"/>
              </w:rPr>
              <w:t>8' tr.</w:t>
            </w:r>
          </w:p>
          <w:p>
            <w:pPr>
              <w:pStyle w:val="T4dispositie"/>
              <w:rPr>
                <w:lang w:val="nl-NL"/>
              </w:rPr>
            </w:pPr>
            <w:r>
              <w:rPr>
                <w:lang w:val="nl-NL"/>
              </w:rPr>
              <w:t>8'</w:t>
            </w:r>
          </w:p>
        </w:tc>
      </w:tr>
    </w:tbl>
    <w:p>
      <w:pPr>
        <w:pStyle w:val="T4dispositie"/>
        <w:rPr/>
      </w:pPr>
      <w:r>
        <w:rPr/>
      </w:r>
    </w:p>
    <w:p>
      <w:pPr>
        <w:pStyle w:val="T4dispositie"/>
        <w:rPr/>
      </w:pPr>
      <w:r>
        <w:rPr/>
        <w:t>* in werkelijkheid Nasard 2 2/3'</w:t>
      </w:r>
    </w:p>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koppelingen HW-Pos, Ped-HW, Ped-Pos</w:t>
      </w:r>
    </w:p>
    <w:p>
      <w:pPr>
        <w:pStyle w:val="T1"/>
        <w:rPr>
          <w:szCs w:val="24"/>
          <w:lang w:val="nl-NL"/>
        </w:rPr>
      </w:pPr>
      <w:r>
        <w:rPr>
          <w:szCs w:val="24"/>
          <w:lang w:val="nl-NL"/>
        </w:rPr>
        <w:t>automatische pedaalomschakeling</w:t>
      </w:r>
    </w:p>
    <w:p>
      <w:pPr>
        <w:pStyle w:val="T1"/>
        <w:rPr>
          <w:szCs w:val="24"/>
          <w:lang w:val="fr-FR"/>
        </w:rPr>
      </w:pPr>
      <w:r>
        <w:rPr>
          <w:szCs w:val="24"/>
          <w:lang w:val="fr-FR"/>
        </w:rPr>
        <w:t>tremulant HW, tremulant Pos</w:t>
      </w:r>
    </w:p>
    <w:p>
      <w:pPr>
        <w:pStyle w:val="T1"/>
        <w:rPr>
          <w:szCs w:val="24"/>
          <w:lang w:val="fr-FR"/>
        </w:rPr>
      </w:pPr>
      <w:r>
        <w:rPr>
          <w:szCs w:val="24"/>
          <w:lang w:val="fr-FR"/>
        </w:rPr>
      </w:r>
    </w:p>
    <w:p>
      <w:pPr>
        <w:pStyle w:val="T1"/>
        <w:rPr>
          <w:szCs w:val="24"/>
          <w:lang w:val="nl-NL"/>
        </w:rPr>
      </w:pPr>
      <w:r>
        <w:rPr>
          <w:szCs w:val="24"/>
          <w:lang w:val="nl-NL"/>
        </w:rPr>
        <w:t>Samenstelling vulstemmen</w:t>
      </w:r>
    </w:p>
    <w:tbl>
      <w:tblPr>
        <w:tblW w:w="4379" w:type="dxa"/>
        <w:jc w:val="start"/>
        <w:tblInd w:w="-70" w:type="dxa"/>
        <w:tblLayout w:type="fixed"/>
        <w:tblCellMar>
          <w:top w:w="0" w:type="dxa"/>
          <w:start w:w="70" w:type="dxa"/>
          <w:bottom w:w="0" w:type="dxa"/>
          <w:end w:w="70" w:type="dxa"/>
        </w:tblCellMar>
      </w:tblPr>
      <w:tblGrid>
        <w:gridCol w:w="1474"/>
        <w:gridCol w:w="729"/>
        <w:gridCol w:w="729"/>
        <w:gridCol w:w="729"/>
        <w:gridCol w:w="718"/>
      </w:tblGrid>
      <w:tr>
        <w:trPr/>
        <w:tc>
          <w:tcPr>
            <w:tcW w:w="1474" w:type="dxa"/>
            <w:tcBorders/>
          </w:tcPr>
          <w:p>
            <w:pPr>
              <w:pStyle w:val="T1"/>
              <w:rPr>
                <w:szCs w:val="24"/>
                <w:lang w:val="nl-NL"/>
              </w:rPr>
            </w:pPr>
            <w:r>
              <w:rPr>
                <w:szCs w:val="24"/>
                <w:lang w:val="nl-NL"/>
              </w:rPr>
              <w:t>Mixtuur HW</w:t>
            </w:r>
          </w:p>
        </w:tc>
        <w:tc>
          <w:tcPr>
            <w:tcW w:w="729" w:type="dxa"/>
            <w:tcBorders/>
          </w:tcPr>
          <w:p>
            <w:pPr>
              <w:pStyle w:val="T4dispositie"/>
              <w:rPr/>
            </w:pPr>
            <w:r>
              <w:rPr/>
              <w:t>C</w:t>
            </w:r>
          </w:p>
          <w:p>
            <w:pPr>
              <w:pStyle w:val="T4dispositie"/>
              <w:rPr/>
            </w:pPr>
            <w:r>
              <w:rPr/>
              <w:t>2</w:t>
            </w:r>
          </w:p>
          <w:p>
            <w:pPr>
              <w:pStyle w:val="T4dispositie"/>
              <w:rPr/>
            </w:pPr>
            <w:r>
              <w:rPr/>
              <w:t>1 1/3</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5 1/3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tc>
      </w:tr>
    </w:tbl>
    <w:p>
      <w:pPr>
        <w:pStyle w:val="T1"/>
        <w:rPr>
          <w:szCs w:val="24"/>
          <w:lang w:val="fr-FR"/>
        </w:rPr>
      </w:pPr>
      <w:r>
        <w:rPr>
          <w:szCs w:val="24"/>
          <w:lang w:val="fr-FR"/>
        </w:rPr>
      </w:r>
    </w:p>
    <w:p>
      <w:pPr>
        <w:pStyle w:val="T1"/>
        <w:rPr>
          <w:szCs w:val="24"/>
          <w:lang w:val="fr-FR"/>
        </w:rPr>
      </w:pPr>
      <w:r>
        <w:rPr>
          <w:szCs w:val="24"/>
          <w:lang w:val="fr-FR"/>
        </w:rPr>
        <w:t xml:space="preserve">Sesquialter Pos   </w:t>
      </w:r>
      <w:r>
        <w:rPr>
          <w:sz w:val="20"/>
        </w:rPr>
        <w:t>c   2 2/3 - 1 3/5</w:t>
      </w:r>
    </w:p>
    <w:p>
      <w:pPr>
        <w:pStyle w:val="T1"/>
        <w:rPr>
          <w:szCs w:val="24"/>
          <w:lang w:val="fr-FR"/>
        </w:rPr>
      </w:pPr>
      <w:r>
        <w:rPr>
          <w:szCs w:val="24"/>
          <w:lang w:val="fr-FR"/>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gelijkzwevend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C-g</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C-f</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 xml:space="preserve">ventilator en regulateurbalgen </w:t>
      </w:r>
    </w:p>
    <w:p>
      <w:pPr>
        <w:pStyle w:val="T1"/>
        <w:rPr>
          <w:szCs w:val="24"/>
          <w:lang w:val="nl-NL"/>
        </w:rPr>
      </w:pPr>
      <w:r>
        <w:rPr>
          <w:szCs w:val="24"/>
          <w:lang w:val="nl-NL"/>
        </w:rPr>
        <w:t>Winddruk</w:t>
      </w:r>
    </w:p>
    <w:p>
      <w:pPr>
        <w:pStyle w:val="T1"/>
        <w:rPr>
          <w:szCs w:val="24"/>
          <w:lang w:val="nl-NL"/>
        </w:rPr>
      </w:pPr>
      <w:r>
        <w:rPr>
          <w:szCs w:val="24"/>
          <w:lang w:val="nl-NL"/>
        </w:rPr>
        <w:t>..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vrijstaande speeltafel</w:t>
      </w:r>
    </w:p>
    <w:p>
      <w:pPr>
        <w:pStyle w:val="T1"/>
        <w:rPr>
          <w:szCs w:val="24"/>
          <w:lang w:val="nl-NL"/>
        </w:rPr>
      </w:pPr>
      <w:r>
        <w:rPr>
          <w:szCs w:val="24"/>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Het instrument is uitgerust met elektrisch aangestuurde sleepladen. De chromatisch ingedeelde HW-lade staat ter linkerzijde van het Pos. De Praestant 8' staat van C-f chromatisch opgesteld op een combinatielade voor HW en Ped, rechts van het Pos tegen de achterwand van de orgelkamer. Subbas 16' en Bourdon 8' vormen een unit, C-f staan chromatisch opgesteld tegen de linkerachterwand en het vervolg staat, eveneens in chromatische volgorde, tegen de rechterachterwand, naast C-f van de Praestant 8'. Houten pijpwerk bevindt zich in de Quintadeen 8' (Pos, C-H) en de Subbas 16'/Bourdon 8'-unit (respectievelijk C-h/C-H). </w:t>
      </w:r>
      <w:r>
        <w:rPr>
          <w:szCs w:val="24"/>
          <w:lang w:val="nl-NL"/>
        </w:rPr>
        <w:t>De Praestant 8' is van C-H van zink, het vervolg is van orgelmetaal. De Spitsgamba 8' is van C-H gecombineerd met de Holpijp 8', het vervolg bestaat uit open pijpen, van c-h cilindrisch, vanaf c' licht conisch. Bij de bouw was een Hobo 8' op het HW gereserveerd; op deze plaats staat de conische Nasard 2 2/3'. De Open Fluit 4' is geheel cilindrisch. De Speelfluit 2' is van C-h roergedekt, het vervolg is open, licht conisch.</w:t>
      </w:r>
    </w:p>
    <w:p>
      <w:pPr>
        <w:pStyle w:val="Normal"/>
        <w:rPr>
          <w:rFonts w:ascii="Times New Roman" w:hAnsi="Times New Roman" w:cs="Times New Roman"/>
          <w:spacing w:val="-3"/>
        </w:rPr>
      </w:pPr>
      <w:r>
        <w:rPr>
          <w:rFonts w:cs="Times New Roman" w:ascii="Times New Roman" w:hAnsi="Times New Roman"/>
          <w:spacing w:val="-3"/>
        </w:rPr>
        <w:t>De dispositie heeft een duidelijk Orgelbewegung-karakter, waarin, als we de reservering van de Hobo 8' meetellen, alle registerfamilies zijn vertegenwoordigd. Opvallend is in dit verband ook de disponering van het Pos met de Quintadeen 8' als basisregister, en de (verhoudingsgewijs wijd gemensureerde) Sexquialter als klankkroon.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Normaalweb">
    <w:name w:val="Normaal (web)"/>
    <w:basedOn w:val="Normal"/>
    <w:qFormat/>
    <w:pPr>
      <w:widowControl/>
      <w:suppressAutoHyphens w:val="false"/>
      <w:spacing w:lineRule="atLeast" w:line="360" w:before="96" w:after="12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2010-03-21T23:25:00Z</dcterms:created>
  <dc:creator>WS1</dc:creator>
  <dc:description/>
  <dc:language>en-US</dc:language>
  <cp:lastModifiedBy>NIvO</cp:lastModifiedBy>
  <cp:lastPrinted>2113-01-01T23:00:00Z</cp:lastPrinted>
  <dcterms:modified xsi:type="dcterms:W3CDTF">2010-03-23T20:49:00Z</dcterms:modified>
  <cp:revision>7</cp:revision>
  <dc:subject/>
  <dc:title>Olst / 1880</dc:title>
</cp:coreProperties>
</file>