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Groenlo / 1951</w:t>
      </w:r>
    </w:p>
    <w:p>
      <w:pPr>
        <w:pStyle w:val="Heading2"/>
        <w:rPr>
          <w:i w:val="false"/>
          <w:i w:val="false"/>
          <w:iCs/>
        </w:rPr>
      </w:pPr>
      <w:r>
        <w:rPr>
          <w:i w:val="false"/>
          <w:iCs/>
        </w:rPr>
        <w:t>Oude Calixtuskerk</w:t>
      </w:r>
    </w:p>
    <w:p>
      <w:pPr>
        <w:pStyle w:val="T1"/>
        <w:jc w:val="start"/>
        <w:rPr>
          <w:i/>
          <w:i/>
          <w:iCs/>
        </w:rPr>
      </w:pPr>
      <w:r>
        <w:rPr>
          <w:i/>
          <w:iCs/>
        </w:rPr>
      </w:r>
    </w:p>
    <w:p>
      <w:pPr>
        <w:pStyle w:val="T1"/>
        <w:jc w:val="start"/>
        <w:rPr>
          <w:i/>
          <w:i/>
          <w:iCs/>
          <w:lang w:val="nl-NL"/>
        </w:rPr>
      </w:pPr>
      <w:r>
        <w:rPr>
          <w:i/>
          <w:iCs/>
          <w:lang w:val="nl-NL"/>
        </w:rPr>
        <w:t>Forse pseudobasiliek met een toren van drie geledingen. Delen van de toren zijn wellicht het oudst, ze zijn in tufsteen opgetrokken in de tweede helft van de 14e eeuw. Koor en noordelijke zijkapel zijn 15e-eeuws, het schip is 16e-eeuws. De stenen gewelven zijn voor een deel het product van latere restauraties.Muurschilderingen in het koor, figuratief beeldhouwwerk aan kraag- en sluitstenen, enige belangwekkende interieurstukken.</w:t>
      </w:r>
    </w:p>
    <w:p>
      <w:pPr>
        <w:pStyle w:val="T1"/>
        <w:jc w:val="start"/>
        <w:rPr>
          <w:i/>
          <w:i/>
          <w:iCs/>
          <w:lang w:val="nl-NL"/>
        </w:rPr>
      </w:pPr>
      <w:r>
        <w:rPr>
          <w:i/>
          <w:iCs/>
          <w:lang w:val="nl-NL"/>
        </w:rPr>
      </w:r>
    </w:p>
    <w:p>
      <w:pPr>
        <w:pStyle w:val="T1"/>
        <w:jc w:val="start"/>
        <w:rPr>
          <w:lang w:val="nl-NL"/>
        </w:rPr>
      </w:pPr>
      <w:r>
        <w:rPr>
          <w:lang w:val="nl-NL"/>
        </w:rPr>
        <w:t>Kas: 1951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vijfledig vlak uitgevoerd front voor hoofdwerk en pedaal, met daaronder een borstwerk, dat met deuren afgesloten kan worden. Ten behoeve van de vormgeving van het totaal, zowel als voor verschillende details, werden schetsen aangeleverd door adviseur Johannes Legêne. Diens Deense ervaringen in de voorafgaande jaren kunnen hiervoor als inspiratiebron worden aangewezen.</w:t>
      </w:r>
    </w:p>
    <w:p>
      <w:pPr>
        <w:pStyle w:val="T2Kunst"/>
        <w:jc w:val="start"/>
        <w:rPr>
          <w:lang w:val="nl-NL"/>
        </w:rPr>
      </w:pPr>
      <w:r>
        <w:rPr>
          <w:lang w:val="nl-NL"/>
        </w:rPr>
        <w:t>De orgelkas is van eiken, waartoe Legêne zelf een partij oud eiken wist te verwerven. Ornamentiek ontbreekt geheel, de frontpijpen hebben natuurlijke lengte. Het hang- en sluitwerk van de kas is naar aanwijzingen van Legêne door een plaatselijke smid gesmeed.</w:t>
      </w:r>
    </w:p>
    <w:p>
      <w:pPr>
        <w:pStyle w:val="T3Li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lang w:val="nl-NL"/>
        </w:rPr>
        <w:t xml:space="preserve">Jan Jongepier, ‘Luisterrijke klanken, een jong orgel van bijzondere kwaliteit’. In: Karel Emmens (red.), </w:t>
      </w:r>
      <w:r>
        <w:rPr>
          <w:i/>
          <w:iCs/>
          <w:lang w:val="nl-NL"/>
        </w:rPr>
        <w:t>De Oude Calixtuskerk te Groenlo</w:t>
      </w:r>
      <w:r>
        <w:rPr>
          <w:lang w:val="nl-NL"/>
        </w:rPr>
        <w:t>. Utrecht, 2005, 155-163.</w:t>
      </w:r>
    </w:p>
    <w:p>
      <w:pPr>
        <w:pStyle w:val="T3Lit"/>
        <w:jc w:val="start"/>
        <w:rPr/>
      </w:pPr>
      <w:r>
        <w:rPr>
          <w:lang w:val="nl-NL"/>
        </w:rPr>
        <w:t xml:space="preserve">Jan Jongepier, ‘Het Flentrop-orgel in de Oude Calixtuskerk te Groenlo.’ In Hans Fidom (red.), </w:t>
      </w:r>
      <w:r>
        <w:rPr>
          <w:i/>
          <w:iCs/>
          <w:lang w:val="nl-NL"/>
        </w:rPr>
        <w:t>Orgels van de Wederopbouw 8</w:t>
      </w:r>
      <w:r>
        <w:rPr>
          <w:lang w:val="nl-NL"/>
        </w:rPr>
        <w:t>. Zutphen, 2006, 247-263.</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T3Lit"/>
        <w:jc w:val="start"/>
        <w:rPr>
          <w:lang w:val="nl-NL"/>
        </w:rPr>
      </w:pPr>
      <w:r>
        <w:rPr>
          <w:lang w:val="nl-NL"/>
        </w:rPr>
        <w:t>Monumentnummer 18164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D.A. Flentrop</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1951</w:t>
      </w:r>
    </w:p>
    <w:p>
      <w:pPr>
        <w:pStyle w:val="T1"/>
        <w:jc w:val="start"/>
        <w:rPr>
          <w:lang w:val="nl-NL"/>
        </w:rPr>
      </w:pPr>
      <w:r>
        <w:rPr>
          <w:lang w:val="nl-NL"/>
        </w:rPr>
      </w:r>
    </w:p>
    <w:p>
      <w:pPr>
        <w:pStyle w:val="T1"/>
        <w:jc w:val="start"/>
        <w:rPr>
          <w:lang w:val="nl-NL"/>
        </w:rPr>
      </w:pPr>
      <w:r>
        <w:rPr>
          <w:lang w:val="nl-NL"/>
        </w:rPr>
        <w:t>D.A. Flentrop 1954</w:t>
      </w:r>
    </w:p>
    <w:p>
      <w:pPr>
        <w:pStyle w:val="T1"/>
        <w:numPr>
          <w:ilvl w:val="0"/>
          <w:numId w:val="2"/>
        </w:numPr>
        <w:jc w:val="start"/>
        <w:rPr>
          <w:lang w:val="nl-NL"/>
        </w:rPr>
      </w:pPr>
      <w:r>
        <w:rPr>
          <w:lang w:val="nl-NL"/>
        </w:rPr>
        <w:t>schoonmaak en herstel na voltooiing restauratiewerkzaamheden kerk en toren</w:t>
      </w:r>
    </w:p>
    <w:p>
      <w:pPr>
        <w:pStyle w:val="T1"/>
        <w:jc w:val="start"/>
        <w:rPr>
          <w:lang w:val="nl-NL"/>
        </w:rPr>
      </w:pPr>
      <w:r>
        <w:rPr>
          <w:lang w:val="nl-NL"/>
        </w:rPr>
      </w:r>
    </w:p>
    <w:p>
      <w:pPr>
        <w:pStyle w:val="T1"/>
        <w:jc w:val="start"/>
        <w:rPr>
          <w:lang w:val="nl-NL"/>
        </w:rPr>
      </w:pPr>
      <w:r>
        <w:rPr>
          <w:lang w:val="nl-NL"/>
        </w:rPr>
        <w:t>D.A. Flentrop 1963</w:t>
      </w:r>
    </w:p>
    <w:p>
      <w:pPr>
        <w:pStyle w:val="T1"/>
        <w:numPr>
          <w:ilvl w:val="0"/>
          <w:numId w:val="2"/>
        </w:numPr>
        <w:jc w:val="start"/>
        <w:rPr>
          <w:lang w:val="nl-NL"/>
        </w:rPr>
      </w:pPr>
      <w:r>
        <w:rPr>
          <w:lang w:val="nl-NL"/>
        </w:rPr>
        <w:t>demontage en opslag binnenwerk in verband met kerkrestauratie</w:t>
      </w:r>
    </w:p>
    <w:p>
      <w:pPr>
        <w:pStyle w:val="T1"/>
        <w:jc w:val="start"/>
        <w:rPr>
          <w:lang w:val="nl-NL"/>
        </w:rPr>
      </w:pPr>
      <w:r>
        <w:rPr>
          <w:lang w:val="nl-NL"/>
        </w:rPr>
      </w:r>
    </w:p>
    <w:p>
      <w:pPr>
        <w:pStyle w:val="T1"/>
        <w:jc w:val="start"/>
        <w:rPr>
          <w:lang w:val="nl-NL"/>
        </w:rPr>
      </w:pPr>
      <w:r>
        <w:rPr>
          <w:lang w:val="nl-NL"/>
        </w:rPr>
        <w:t>D.A. Flentrop 1966</w:t>
      </w:r>
    </w:p>
    <w:p>
      <w:pPr>
        <w:pStyle w:val="T1"/>
        <w:numPr>
          <w:ilvl w:val="0"/>
          <w:numId w:val="2"/>
        </w:numPr>
        <w:jc w:val="start"/>
        <w:rPr>
          <w:lang w:val="nl-NL"/>
        </w:rPr>
      </w:pPr>
      <w:r>
        <w:rPr>
          <w:lang w:val="nl-NL"/>
        </w:rPr>
        <w:t>herplaatsing binnenwerk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borstwerk, pedaal</w:t>
      </w:r>
    </w:p>
    <w:p>
      <w:pPr>
        <w:pStyle w:val="T1"/>
        <w:jc w:val="start"/>
        <w:rPr>
          <w:lang w:val="nl-NL"/>
        </w:rPr>
      </w:pPr>
      <w:r>
        <w:rPr>
          <w:lang w:val="nl-NL"/>
        </w:rPr>
      </w:r>
    </w:p>
    <w:p>
      <w:pPr>
        <w:pStyle w:val="T1"/>
        <w:jc w:val="start"/>
        <w:rPr/>
      </w:pPr>
      <w:r>
        <w:rPr/>
        <w:t>Dispositie</w:t>
      </w:r>
    </w:p>
    <w:tbl>
      <w:tblPr>
        <w:tblW w:w="7450" w:type="dxa"/>
        <w:jc w:val="start"/>
        <w:tblInd w:w="-70" w:type="dxa"/>
        <w:tblLayout w:type="fixed"/>
        <w:tblCellMar>
          <w:top w:w="0" w:type="dxa"/>
          <w:start w:w="70" w:type="dxa"/>
          <w:bottom w:w="0" w:type="dxa"/>
          <w:end w:w="70" w:type="dxa"/>
        </w:tblCellMar>
      </w:tblPr>
      <w:tblGrid>
        <w:gridCol w:w="1510"/>
        <w:gridCol w:w="900"/>
        <w:gridCol w:w="1620"/>
        <w:gridCol w:w="900"/>
        <w:gridCol w:w="1567"/>
        <w:gridCol w:w="953"/>
      </w:tblGrid>
      <w:tr>
        <w:trPr/>
        <w:tc>
          <w:tcPr>
            <w:tcW w:w="1510" w:type="dxa"/>
            <w:tcBorders/>
          </w:tcPr>
          <w:p>
            <w:pPr>
              <w:pStyle w:val="T4dispositie"/>
              <w:jc w:val="start"/>
              <w:rPr>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Quintadeen</w:t>
            </w:r>
          </w:p>
          <w:p>
            <w:pPr>
              <w:pStyle w:val="T4dispositie"/>
              <w:jc w:val="start"/>
              <w:rPr>
                <w:lang w:val="nl-NL"/>
              </w:rPr>
            </w:pPr>
            <w:r>
              <w:rPr>
                <w:lang w:val="nl-NL"/>
              </w:rPr>
              <w:t>Vlakfluit</w:t>
            </w:r>
          </w:p>
          <w:p>
            <w:pPr>
              <w:pStyle w:val="T4dispositie"/>
              <w:jc w:val="start"/>
              <w:rPr>
                <w:lang w:val="nl-NL"/>
              </w:rPr>
            </w:pPr>
            <w:r>
              <w:rPr>
                <w:lang w:val="nl-NL"/>
              </w:rPr>
              <w:t>Mixtuur</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4-7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Borstwerk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Spitsfluit</w:t>
            </w:r>
          </w:p>
          <w:p>
            <w:pPr>
              <w:pStyle w:val="T4dispositie"/>
              <w:jc w:val="start"/>
              <w:rPr>
                <w:lang w:val="nl-NL"/>
              </w:rPr>
            </w:pPr>
            <w:r>
              <w:rPr>
                <w:lang w:val="nl-NL"/>
              </w:rPr>
              <w:t>Prestant</w:t>
            </w:r>
          </w:p>
          <w:p>
            <w:pPr>
              <w:pStyle w:val="T4dispositie"/>
              <w:jc w:val="start"/>
              <w:rPr>
                <w:lang w:val="nl-NL"/>
              </w:rPr>
            </w:pPr>
            <w:r>
              <w:rPr>
                <w:lang w:val="nl-NL"/>
              </w:rPr>
              <w:t>Quint</w:t>
            </w:r>
          </w:p>
          <w:p>
            <w:pPr>
              <w:pStyle w:val="T4dispositie"/>
              <w:jc w:val="start"/>
              <w:rPr>
                <w:lang w:val="nl-NL"/>
              </w:rPr>
            </w:pPr>
            <w:r>
              <w:rPr>
                <w:lang w:val="nl-NL"/>
              </w:rPr>
              <w:t>Sexquialter</w:t>
            </w:r>
          </w:p>
          <w:p>
            <w:pPr>
              <w:pStyle w:val="T4dispositie"/>
              <w:jc w:val="start"/>
              <w:rPr>
                <w:lang w:val="nl-NL"/>
              </w:rPr>
            </w:pPr>
            <w:r>
              <w:rPr>
                <w:lang w:val="nl-NL"/>
              </w:rPr>
              <w:t>Cimbel</w:t>
            </w:r>
          </w:p>
          <w:p>
            <w:pPr>
              <w:pStyle w:val="T4dispositie"/>
              <w:jc w:val="start"/>
              <w:rPr>
                <w:lang w:val="nl-NL"/>
              </w:rPr>
            </w:pPr>
            <w:r>
              <w:rPr>
                <w:lang w:val="nl-NL"/>
              </w:rPr>
              <w:t>Regaal</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2 st.</w:t>
            </w:r>
          </w:p>
          <w:p>
            <w:pPr>
              <w:pStyle w:val="T4dispositie"/>
              <w:jc w:val="start"/>
              <w:rPr>
                <w:lang w:val="nl-NL"/>
              </w:rPr>
            </w:pPr>
            <w:r>
              <w:rPr>
                <w:lang w:val="nl-NL"/>
              </w:rPr>
              <w:t>1 st.</w:t>
            </w:r>
          </w:p>
          <w:p>
            <w:pPr>
              <w:pStyle w:val="T4dispositie"/>
              <w:jc w:val="start"/>
              <w:rPr>
                <w:lang w:val="nl-NL"/>
              </w:rPr>
            </w:pPr>
            <w:r>
              <w:rPr>
                <w:lang w:val="nl-NL"/>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Prestant</w:t>
            </w:r>
          </w:p>
          <w:p>
            <w:pPr>
              <w:pStyle w:val="T4dispositie"/>
              <w:jc w:val="start"/>
              <w:rPr>
                <w:lang w:val="nl-NL"/>
              </w:rPr>
            </w:pPr>
            <w:r>
              <w:rPr>
                <w:lang w:val="nl-NL"/>
              </w:rPr>
              <w:t>Nachthoorn</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HW-BoW, Ped-HW (als treden)</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B</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gis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4030" w:type="dxa"/>
        <w:jc w:val="start"/>
        <w:tblInd w:w="-70" w:type="dxa"/>
        <w:tblLayout w:type="fixed"/>
        <w:tblCellMar>
          <w:top w:w="0" w:type="dxa"/>
          <w:start w:w="70" w:type="dxa"/>
          <w:bottom w:w="0" w:type="dxa"/>
          <w:end w:w="70" w:type="dxa"/>
        </w:tblCellMar>
      </w:tblPr>
      <w:tblGrid>
        <w:gridCol w:w="1870"/>
        <w:gridCol w:w="540"/>
        <w:gridCol w:w="720"/>
        <w:gridCol w:w="900"/>
      </w:tblGrid>
      <w:tr>
        <w:trPr/>
        <w:tc>
          <w:tcPr>
            <w:tcW w:w="1870" w:type="dxa"/>
            <w:tcBorders/>
          </w:tcPr>
          <w:p>
            <w:pPr>
              <w:pStyle w:val="T1"/>
              <w:jc w:val="start"/>
              <w:rPr>
                <w:lang w:val="nl-NL"/>
              </w:rPr>
            </w:pPr>
            <w:r>
              <w:rPr>
                <w:lang w:val="nl-NL"/>
              </w:rPr>
              <w:t>Sexquialter BoW</w:t>
            </w:r>
          </w:p>
        </w:tc>
        <w:tc>
          <w:tcPr>
            <w:tcW w:w="540"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2/5</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4/5</w:t>
            </w:r>
          </w:p>
        </w:tc>
        <w:tc>
          <w:tcPr>
            <w:tcW w:w="90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5813" w:type="dxa"/>
        <w:jc w:val="start"/>
        <w:tblInd w:w="-70" w:type="dxa"/>
        <w:tblLayout w:type="fixed"/>
        <w:tblCellMar>
          <w:top w:w="0" w:type="dxa"/>
          <w:start w:w="70" w:type="dxa"/>
          <w:bottom w:w="0" w:type="dxa"/>
          <w:end w:w="70" w:type="dxa"/>
        </w:tblCellMar>
      </w:tblPr>
      <w:tblGrid>
        <w:gridCol w:w="1501"/>
        <w:gridCol w:w="555"/>
        <w:gridCol w:w="555"/>
        <w:gridCol w:w="555"/>
        <w:gridCol w:w="555"/>
        <w:gridCol w:w="555"/>
        <w:gridCol w:w="404"/>
        <w:gridCol w:w="729"/>
        <w:gridCol w:w="404"/>
      </w:tblGrid>
      <w:tr>
        <w:trPr/>
        <w:tc>
          <w:tcPr>
            <w:tcW w:w="1501" w:type="dxa"/>
            <w:tcBorders/>
          </w:tcPr>
          <w:p>
            <w:pPr>
              <w:pStyle w:val="T1"/>
              <w:jc w:val="start"/>
              <w:rPr>
                <w:lang w:val="nl-NL"/>
              </w:rPr>
            </w:pPr>
            <w:r>
              <w:rPr>
                <w:lang w:val="nl-NL"/>
              </w:rPr>
              <w:t>Cimbel BoW</w:t>
            </w:r>
          </w:p>
        </w:tc>
        <w:tc>
          <w:tcPr>
            <w:tcW w:w="555" w:type="dxa"/>
            <w:tcBorders/>
          </w:tcPr>
          <w:p>
            <w:pPr>
              <w:pStyle w:val="T4dispositie"/>
              <w:rPr>
                <w:lang w:val="nl-NL"/>
              </w:rPr>
            </w:pPr>
            <w:r>
              <w:rPr>
                <w:lang w:val="nl-NL"/>
              </w:rPr>
              <w:t>C</w:t>
            </w:r>
          </w:p>
          <w:p>
            <w:pPr>
              <w:pStyle w:val="T4dispositie"/>
              <w:rPr>
                <w:lang w:val="nl-NL"/>
              </w:rPr>
            </w:pPr>
            <w:r>
              <w:rPr>
                <w:lang w:val="nl-NL"/>
              </w:rPr>
              <w:t>1/6</w:t>
            </w:r>
          </w:p>
        </w:tc>
        <w:tc>
          <w:tcPr>
            <w:tcW w:w="555" w:type="dxa"/>
            <w:tcBorders/>
          </w:tcPr>
          <w:p>
            <w:pPr>
              <w:pStyle w:val="T4dispositie"/>
              <w:rPr>
                <w:lang w:val="nl-NL"/>
              </w:rPr>
            </w:pPr>
            <w:r>
              <w:rPr>
                <w:lang w:val="nl-NL"/>
              </w:rPr>
              <w:t>B</w:t>
            </w:r>
          </w:p>
          <w:p>
            <w:pPr>
              <w:pStyle w:val="T4dispositie"/>
              <w:rPr>
                <w:lang w:val="nl-NL"/>
              </w:rPr>
            </w:pPr>
            <w:r>
              <w:rPr>
                <w:lang w:val="nl-NL"/>
              </w:rPr>
              <w:t>1/4</w:t>
            </w:r>
          </w:p>
        </w:tc>
        <w:tc>
          <w:tcPr>
            <w:tcW w:w="555" w:type="dxa"/>
            <w:tcBorders/>
          </w:tcPr>
          <w:p>
            <w:pPr>
              <w:pStyle w:val="T4dispositie"/>
              <w:rPr>
                <w:lang w:val="nl-NL"/>
              </w:rPr>
            </w:pPr>
            <w:r>
              <w:rPr>
                <w:lang w:val="nl-NL"/>
              </w:rPr>
              <w:t>f</w:t>
            </w:r>
          </w:p>
          <w:p>
            <w:pPr>
              <w:pStyle w:val="T4dispositie"/>
              <w:rPr>
                <w:lang w:val="nl-NL"/>
              </w:rPr>
            </w:pPr>
            <w:r>
              <w:rPr>
                <w:lang w:val="nl-NL"/>
              </w:rPr>
              <w:t>1/3</w:t>
            </w:r>
          </w:p>
        </w:tc>
        <w:tc>
          <w:tcPr>
            <w:tcW w:w="555" w:type="dxa"/>
            <w:tcBorders/>
          </w:tcPr>
          <w:p>
            <w:pPr>
              <w:pStyle w:val="T4dispositie"/>
              <w:rPr>
                <w:lang w:val="nl-NL"/>
              </w:rPr>
            </w:pPr>
            <w:r>
              <w:rPr>
                <w:lang w:val="nl-NL"/>
              </w:rPr>
              <w:t>b</w:t>
            </w:r>
          </w:p>
          <w:p>
            <w:pPr>
              <w:pStyle w:val="T4dispositie"/>
              <w:rPr>
                <w:lang w:val="nl-NL"/>
              </w:rPr>
            </w:pPr>
            <w:r>
              <w:rPr>
                <w:lang w:val="nl-NL"/>
              </w:rPr>
              <w:t>1/2</w:t>
            </w:r>
          </w:p>
        </w:tc>
        <w:tc>
          <w:tcPr>
            <w:tcW w:w="555" w:type="dxa"/>
            <w:tcBorders/>
          </w:tcPr>
          <w:p>
            <w:pPr>
              <w:pStyle w:val="T4dispositie"/>
              <w:rPr/>
            </w:pPr>
            <w:r>
              <w:rPr>
                <w:lang w:val="nl-NL"/>
              </w:rPr>
              <w:t>e</w:t>
            </w:r>
            <w:r>
              <w:rPr>
                <w:vertAlign w:val="superscript"/>
                <w:lang w:val="nl-NL"/>
              </w:rPr>
              <w:t>1</w:t>
            </w:r>
          </w:p>
          <w:p>
            <w:pPr>
              <w:pStyle w:val="T4dispositie"/>
              <w:rPr>
                <w:lang w:val="nl-NL"/>
              </w:rPr>
            </w:pPr>
            <w:r>
              <w:rPr>
                <w:lang w:val="nl-NL"/>
              </w:rPr>
              <w:t>2/3</w:t>
            </w:r>
          </w:p>
        </w:tc>
        <w:tc>
          <w:tcPr>
            <w:tcW w:w="404" w:type="dxa"/>
            <w:tcBorders/>
          </w:tcPr>
          <w:p>
            <w:pPr>
              <w:pStyle w:val="T4dispositie"/>
              <w:rPr/>
            </w:pPr>
            <w:r>
              <w:rPr>
                <w:lang w:val="nl-NL"/>
              </w:rPr>
              <w:t>b</w:t>
            </w:r>
            <w:r>
              <w:rPr>
                <w:vertAlign w:val="superscript"/>
                <w:lang w:val="nl-NL"/>
              </w:rPr>
              <w:t>1</w:t>
            </w:r>
          </w:p>
          <w:p>
            <w:pPr>
              <w:pStyle w:val="T4dispositie"/>
              <w:rPr>
                <w:lang w:val="nl-NL"/>
              </w:rPr>
            </w:pPr>
            <w:r>
              <w:rPr>
                <w:lang w:val="nl-NL"/>
              </w:rPr>
              <w:t>1</w:t>
            </w:r>
          </w:p>
        </w:tc>
        <w:tc>
          <w:tcPr>
            <w:tcW w:w="729" w:type="dxa"/>
            <w:tcBorders/>
          </w:tcPr>
          <w:p>
            <w:pPr>
              <w:pStyle w:val="T4dispositie"/>
              <w:rPr/>
            </w:pPr>
            <w:r>
              <w:rPr>
                <w:lang w:val="nl-NL"/>
              </w:rPr>
              <w:t>e</w:t>
            </w:r>
            <w:r>
              <w:rPr>
                <w:vertAlign w:val="superscript"/>
                <w:lang w:val="nl-NL"/>
              </w:rPr>
              <w:t>2</w:t>
            </w:r>
          </w:p>
          <w:p>
            <w:pPr>
              <w:pStyle w:val="T4dispositie"/>
              <w:rPr>
                <w:lang w:val="nl-NL"/>
              </w:rPr>
            </w:pPr>
            <w:r>
              <w:rPr>
                <w:lang w:val="nl-NL"/>
              </w:rPr>
              <w:t>1 1/3</w:t>
            </w:r>
          </w:p>
        </w:tc>
        <w:tc>
          <w:tcPr>
            <w:tcW w:w="404" w:type="dxa"/>
            <w:tcBorders/>
          </w:tcPr>
          <w:p>
            <w:pPr>
              <w:pStyle w:val="T4dispositie"/>
              <w:rPr/>
            </w:pPr>
            <w:r>
              <w:rPr>
                <w:lang w:val="nl-NL"/>
              </w:rPr>
              <w:t>b</w:t>
            </w:r>
            <w:r>
              <w:rPr>
                <w:vertAlign w:val="superscript"/>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rolbalg</w:t>
      </w:r>
    </w:p>
    <w:p>
      <w:pPr>
        <w:pStyle w:val="T1"/>
        <w:jc w:val="start"/>
        <w:rPr>
          <w:lang w:val="nl-NL"/>
        </w:rPr>
      </w:pPr>
      <w:r>
        <w:rPr>
          <w:lang w:val="nl-NL"/>
        </w:rPr>
        <w:t>Winddruk</w:t>
      </w:r>
    </w:p>
    <w:p>
      <w:pPr>
        <w:pStyle w:val="T1"/>
        <w:jc w:val="start"/>
        <w:rPr>
          <w:lang w:val="nl-NL"/>
        </w:rPr>
      </w:pPr>
      <w:r>
        <w:rPr>
          <w:lang w:val="nl-NL"/>
        </w:rPr>
        <w:t>67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het front staan C-A van de Prestant 8' Ped (zijvelden) en G-g² van de Prestant 8' HW (overige velden). De Prestant 8' HW is van C-Fis gecombineerd met de Roerfluit.</w:t>
      </w:r>
    </w:p>
    <w:p>
      <w:pPr>
        <w:pStyle w:val="T1"/>
        <w:jc w:val="start"/>
        <w:rPr>
          <w:lang w:val="nl-NL"/>
        </w:rPr>
      </w:pPr>
      <w:r>
        <w:rPr>
          <w:lang w:val="nl-NL"/>
        </w:rPr>
        <w:t>Uit het voormalig orgel (Jacobus Armbrost, 1838) werden 36 eiken gedekte pijpen overgenomen (C-H Roerfluit 8' en C-h Subbas 16'). De Holpijp 8' BoW heeft mahonie pijpen voor C-H, de Spitsfluit 4' BoW heeft gedekte pijpen voor C-dis. De Cimbel bestaat uit pijpen van palmhout. De Nachthoorn 4' Ped is als roerfluit uitgevoerd. De tongwerken hebben eiken stevels en mahonie koppen, bij de Regaal zijn kop en beker uit één deel mahonie gemaakt.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ages>3</Pages>
  <Words>525</Words>
  <Characters>2771</Characters>
  <CharactersWithSpaces>3144</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2010-03-21T23:31:00Z</dcterms:created>
  <dc:creator>WS1</dc:creator>
  <dc:description/>
  <dc:language>en-US</dc:language>
  <cp:lastModifiedBy>NIvO</cp:lastModifiedBy>
  <dcterms:modified xsi:type="dcterms:W3CDTF">2010-03-23T20:50:00Z</dcterms:modified>
  <cp:revision>4</cp:revision>
  <dc:subject/>
  <dc:title>Zeeland / 1895</dc:title>
</cp:coreProperties>
</file>