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IJmuiden / 1951</w:t>
      </w:r>
    </w:p>
    <w:p>
      <w:pPr>
        <w:pStyle w:val="Heading2"/>
        <w:rPr>
          <w:i w:val="false"/>
          <w:i w:val="false"/>
          <w:iCs/>
        </w:rPr>
      </w:pPr>
      <w:r>
        <w:rPr>
          <w:i w:val="false"/>
          <w:iCs/>
        </w:rPr>
        <w:t>Ichtuskerk</w:t>
      </w:r>
    </w:p>
    <w:p>
      <w:pPr>
        <w:pStyle w:val="T1"/>
        <w:jc w:val="start"/>
        <w:rPr>
          <w:i/>
          <w:i/>
          <w:iCs/>
          <w:lang w:val="nl-NL"/>
        </w:rPr>
      </w:pPr>
      <w:r>
        <w:rPr>
          <w:i/>
          <w:iCs/>
          <w:lang w:val="nl-NL"/>
        </w:rPr>
      </w:r>
    </w:p>
    <w:p>
      <w:pPr>
        <w:pStyle w:val="T1"/>
        <w:jc w:val="start"/>
        <w:rPr>
          <w:i/>
          <w:i/>
          <w:iCs/>
          <w:lang w:val="nl-NL"/>
        </w:rPr>
      </w:pPr>
      <w:r>
        <w:rPr>
          <w:i/>
          <w:iCs/>
          <w:lang w:val="nl-NL"/>
        </w:rPr>
        <w:t>Zaalkerk met dakruiter en aangebouwde pastorie, gebouwd in de jaren 1938-’39 naar een ontwerp van S.J. Meegdes en A. ten Broeke.</w:t>
      </w:r>
    </w:p>
    <w:p>
      <w:pPr>
        <w:pStyle w:val="T1"/>
        <w:jc w:val="start"/>
        <w:rPr>
          <w:i/>
          <w:i/>
          <w:iCs/>
          <w:lang w:val="nl-NL"/>
        </w:rPr>
      </w:pPr>
      <w:r>
        <w:rPr>
          <w:i/>
          <w:iCs/>
          <w:lang w:val="nl-NL"/>
        </w:rPr>
      </w:r>
    </w:p>
    <w:p>
      <w:pPr>
        <w:pStyle w:val="T1"/>
        <w:jc w:val="start"/>
        <w:rPr>
          <w:lang w:val="nl-NL"/>
        </w:rPr>
      </w:pPr>
      <w:r>
        <w:rPr>
          <w:lang w:val="nl-NL"/>
        </w:rPr>
        <w:t>Kas: 1951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De wijze waarop bij dit front de pijpen zijn gerangschikt is geheel vrij van het instrument zelf gedacht. De bovenste helft van triangelvormige nis wordt op hier op een eenvoudige manier bijna volledig afgeschermd door een reeks zinken pijpen (C-a van de Prestant 8' Man I) die zijn opgesteld als bij een piramide. Twee even grote pijpen staan in het midden en dan pijpen die in lengte naar weerszijden aflopen. De twee labiumlijnen van deze pijpen zijn in tegenbeweging hiermee. Een tweede reeks stomme pijpen staat als een soort balustrade op de onderzijde van de ‘triangel’ recht boven de kansel en beoogd een tegengesteld effect: de houten pijpen staan in lengte van weerszijden naar het midden opgesteld, verbonden door een reeks precies even lange metalen pijpen. De labiumlijn hiervan volgt, maar niet slaafs, die van de ‘piramide’. Het geheel maakt evengoed een levendige indruk door het lijnenspel en de kleuren van de gekozen materialen en proporties. De onderste twee hoeken van de ‘triangel’ zijn afgedekt met eenvoudige panelen met ruitvormig raster.</w:t>
      </w:r>
    </w:p>
    <w:p>
      <w:pPr>
        <w:pStyle w:val="T2Kunst"/>
        <w:jc w:val="start"/>
        <w:rPr>
          <w:lang w:val="nl-NL"/>
        </w:rPr>
      </w:pPr>
      <w:r>
        <w:rPr>
          <w:lang w:val="nl-NL"/>
        </w:rPr>
      </w:r>
    </w:p>
    <w:p>
      <w:pPr>
        <w:pStyle w:val="T3Lit"/>
        <w:jc w:val="start"/>
        <w:rPr>
          <w:i/>
          <w:i/>
          <w:iCs/>
          <w:lang w:val="nl-NL"/>
        </w:rPr>
      </w:pPr>
      <w:r>
        <w:rPr>
          <w:b/>
          <w:bCs/>
          <w:lang w:val="nl-NL"/>
        </w:rPr>
        <w:t>Literatuur</w:t>
      </w:r>
    </w:p>
    <w:p>
      <w:pPr>
        <w:pStyle w:val="T3Lit"/>
        <w:jc w:val="start"/>
        <w:rPr/>
      </w:pPr>
      <w:r>
        <w:rPr>
          <w:i/>
          <w:iCs/>
          <w:lang w:val="nl-NL"/>
        </w:rPr>
        <w:t>Organophilia</w:t>
      </w:r>
      <w:r>
        <w:rPr>
          <w:lang w:val="nl-NL"/>
        </w:rPr>
        <w:t>, 2/8-9 (1951).</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J.C. Sanders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1951</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onderhoud en vernieuwingen elektrische verbindingen</w:t>
      </w:r>
    </w:p>
    <w:p>
      <w:pPr>
        <w:pStyle w:val="T1"/>
        <w:numPr>
          <w:ilvl w:val="0"/>
          <w:numId w:val="2"/>
        </w:numPr>
        <w:jc w:val="start"/>
        <w:rPr>
          <w:lang w:val="nl-NL"/>
        </w:rPr>
      </w:pPr>
      <w:r>
        <w:rPr>
          <w:lang w:val="nl-NL"/>
        </w:rPr>
        <w:t>registerwippers vernieuwd?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6825" w:type="dxa"/>
        <w:jc w:val="start"/>
        <w:tblInd w:w="-70" w:type="dxa"/>
        <w:tblLayout w:type="fixed"/>
        <w:tblCellMar>
          <w:top w:w="0" w:type="dxa"/>
          <w:start w:w="70" w:type="dxa"/>
          <w:bottom w:w="0" w:type="dxa"/>
          <w:end w:w="70" w:type="dxa"/>
        </w:tblCellMar>
      </w:tblPr>
      <w:tblGrid>
        <w:gridCol w:w="1690"/>
        <w:gridCol w:w="720"/>
        <w:gridCol w:w="1800"/>
        <w:gridCol w:w="720"/>
        <w:gridCol w:w="1520"/>
        <w:gridCol w:w="375"/>
      </w:tblGrid>
      <w:tr>
        <w:trPr/>
        <w:tc>
          <w:tcPr>
            <w:tcW w:w="1690" w:type="dxa"/>
            <w:tcBorders/>
          </w:tcPr>
          <w:p>
            <w:pPr>
              <w:pStyle w:val="T4dispositie"/>
              <w:jc w:val="start"/>
              <w:rPr>
                <w:lang w:val="nl-NL"/>
              </w:rPr>
            </w:pPr>
            <w:r>
              <w:rPr>
                <w:i/>
                <w:iCs/>
                <w:lang w:val="nl-NL"/>
              </w:rPr>
              <w:t>Manuaal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5 st.**</w:t>
            </w:r>
          </w:p>
          <w:p>
            <w:pPr>
              <w:pStyle w:val="T4dispositie"/>
              <w:jc w:val="start"/>
              <w:rPr>
                <w:lang w:val="nl-NL"/>
              </w:rPr>
            </w:pPr>
            <w:r>
              <w:rPr>
                <w:lang w:val="nl-NL"/>
              </w:rPr>
              <w:t>4 st.</w:t>
            </w:r>
          </w:p>
          <w:p>
            <w:pPr>
              <w:pStyle w:val="T4dispositie"/>
              <w:jc w:val="start"/>
              <w:rPr>
                <w:lang w:val="nl-NL"/>
              </w:rPr>
            </w:pPr>
            <w:r>
              <w:rPr>
                <w:lang w:val="nl-NL"/>
              </w:rPr>
              <w:t>8'</w:t>
            </w:r>
          </w:p>
        </w:tc>
        <w:tc>
          <w:tcPr>
            <w:tcW w:w="1800" w:type="dxa"/>
            <w:tcBorders/>
          </w:tcPr>
          <w:p>
            <w:pPr>
              <w:pStyle w:val="T4dispositie"/>
              <w:jc w:val="start"/>
              <w:rPr>
                <w:i/>
                <w:i/>
                <w:iCs/>
                <w:lang w:val="nl-NL"/>
              </w:rPr>
            </w:pPr>
            <w:r>
              <w:rPr>
                <w:i/>
                <w:iCs/>
                <w:lang w:val="nl-NL"/>
              </w:rPr>
              <w:t>Manuaal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Nachthoorn</w:t>
            </w:r>
          </w:p>
          <w:p>
            <w:pPr>
              <w:pStyle w:val="T4dispositie"/>
              <w:jc w:val="start"/>
              <w:rPr>
                <w:lang w:val="nl-NL"/>
              </w:rPr>
            </w:pPr>
            <w:r>
              <w:rPr>
                <w:lang w:val="nl-NL"/>
              </w:rPr>
              <w:t>Nasard</w:t>
            </w:r>
          </w:p>
          <w:p>
            <w:pPr>
              <w:pStyle w:val="T4dispositie"/>
              <w:jc w:val="start"/>
              <w:rPr>
                <w:lang w:val="nl-NL"/>
              </w:rPr>
            </w:pPr>
            <w:r>
              <w:rPr>
                <w:lang w:val="nl-NL"/>
              </w:rPr>
              <w:t>Gemshoorn</w:t>
            </w:r>
          </w:p>
          <w:p>
            <w:pPr>
              <w:pStyle w:val="T4dispositie"/>
              <w:jc w:val="start"/>
              <w:rPr>
                <w:lang w:val="nl-NL"/>
              </w:rPr>
            </w:pPr>
            <w:r>
              <w:rPr>
                <w:lang w:val="nl-NL"/>
              </w:rPr>
              <w:t>Scherp</w:t>
            </w:r>
          </w:p>
          <w:p>
            <w:pPr>
              <w:pStyle w:val="T4dispositie"/>
              <w:jc w:val="start"/>
              <w:rPr>
                <w:lang w:val="nl-NL"/>
              </w:rPr>
            </w:pPr>
            <w:r>
              <w:rPr>
                <w:lang w:val="nl-NL"/>
              </w:rPr>
              <w:t>Hobo</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c>
          <w:tcPr>
            <w:tcW w:w="1520" w:type="dxa"/>
            <w:tcBorders/>
          </w:tcPr>
          <w:p>
            <w:pPr>
              <w:pStyle w:val="T4dispositie"/>
              <w:jc w:val="start"/>
              <w:rPr>
                <w:i/>
                <w:i/>
                <w:iCs/>
                <w:lang w:val="nl-NL"/>
              </w:rPr>
            </w:pPr>
            <w:r>
              <w:rPr>
                <w:i/>
                <w:iCs/>
                <w:lang w:val="nl-NL"/>
              </w:rPr>
              <w:t>Pedaal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Gedekt</w:t>
            </w:r>
          </w:p>
          <w:p>
            <w:pPr>
              <w:pStyle w:val="T4dispositie"/>
              <w:jc w:val="start"/>
              <w:rPr>
                <w:lang w:val="nl-NL"/>
              </w:rPr>
            </w:pPr>
            <w:r>
              <w:rPr>
                <w:lang w:val="nl-NL"/>
              </w:rPr>
              <w:t>Koraalbas</w:t>
            </w:r>
          </w:p>
          <w:p>
            <w:pPr>
              <w:pStyle w:val="T4dispositie"/>
              <w:jc w:val="start"/>
              <w:rPr>
                <w:lang w:val="nl-NL"/>
              </w:rPr>
            </w:pPr>
            <w:r>
              <w:rPr>
                <w:lang w:val="nl-NL"/>
              </w:rPr>
              <w:t>Nachthoorn</w:t>
            </w:r>
          </w:p>
          <w:p>
            <w:pPr>
              <w:pStyle w:val="T4dispositie"/>
              <w:jc w:val="start"/>
              <w:rPr>
                <w:lang w:val="nl-NL"/>
              </w:rPr>
            </w:pPr>
            <w:r>
              <w:rPr>
                <w:lang w:val="nl-NL"/>
              </w:rPr>
              <w:t>Fagot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16'</w:t>
            </w:r>
          </w:p>
        </w:tc>
      </w:tr>
    </w:tbl>
    <w:p>
      <w:pPr>
        <w:pStyle w:val="T4dispositie"/>
        <w:rPr>
          <w:lang w:val="nl-NL"/>
        </w:rPr>
      </w:pPr>
      <w:r>
        <w:rPr>
          <w:lang w:val="nl-NL"/>
        </w:rPr>
      </w:r>
    </w:p>
    <w:p>
      <w:pPr>
        <w:pStyle w:val="T4dispositie"/>
        <w:rPr>
          <w:lang w:val="nl-NL"/>
        </w:rPr>
      </w:pPr>
      <w:r>
        <w:rPr>
          <w:lang w:val="nl-NL"/>
        </w:rPr>
        <w:t>* in werkelijkheid Roerfluit 4'</w:t>
      </w:r>
    </w:p>
    <w:p>
      <w:pPr>
        <w:pStyle w:val="T4dispositie"/>
        <w:rPr>
          <w:lang w:val="nl-NL"/>
        </w:rPr>
      </w:pPr>
      <w:r>
        <w:rPr>
          <w:lang w:val="nl-NL"/>
        </w:rPr>
        <w:t>** in werkelijkheid 3-5 st.</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I-II, Ped-I, Ped-II</w:t>
      </w:r>
    </w:p>
    <w:p>
      <w:pPr>
        <w:pStyle w:val="T1"/>
        <w:jc w:val="start"/>
        <w:rPr>
          <w:lang w:val="nl-NL"/>
        </w:rPr>
      </w:pPr>
      <w:r>
        <w:rPr>
          <w:lang w:val="nl-NL"/>
        </w:rPr>
        <w:t>vaste combinatie P-MF-Tutti</w:t>
      </w:r>
    </w:p>
    <w:p>
      <w:pPr>
        <w:pStyle w:val="T1"/>
        <w:jc w:val="start"/>
        <w:rPr>
          <w:lang w:val="nl-NL"/>
        </w:rPr>
      </w:pPr>
      <w:r>
        <w:rPr>
          <w:lang w:val="nl-NL"/>
        </w:rPr>
        <w:t>één vrije combinatie</w:t>
      </w:r>
    </w:p>
    <w:p>
      <w:pPr>
        <w:pStyle w:val="T1"/>
        <w:jc w:val="start"/>
        <w:rPr>
          <w:lang w:val="nl-NL"/>
        </w:rPr>
      </w:pPr>
      <w:r>
        <w:rPr>
          <w:lang w:val="nl-NL"/>
        </w:rPr>
        <w:t>twee oplossers</w:t>
      </w:r>
    </w:p>
    <w:p>
      <w:pPr>
        <w:pStyle w:val="T1"/>
        <w:jc w:val="start"/>
        <w:rPr>
          <w:lang w:val="nl-NL"/>
        </w:rPr>
      </w:pPr>
      <w:r>
        <w:rPr>
          <w:lang w:val="nl-NL"/>
        </w:rPr>
        <w:t>inschakeling vrij registreren</w:t>
      </w:r>
    </w:p>
    <w:p>
      <w:pPr>
        <w:pStyle w:val="T1"/>
        <w:jc w:val="start"/>
        <w:rPr>
          <w:lang w:val="nl-NL"/>
        </w:rPr>
      </w:pPr>
      <w:r>
        <w:rPr>
          <w:lang w:val="nl-NL"/>
        </w:rPr>
        <w:t>generaal crescendo (trede)</w:t>
      </w:r>
    </w:p>
    <w:p>
      <w:pPr>
        <w:pStyle w:val="T1"/>
        <w:jc w:val="start"/>
        <w:rPr>
          <w:lang w:val="nl-NL"/>
        </w:rPr>
      </w:pPr>
      <w:r>
        <w:rPr>
          <w:lang w:val="nl-NL"/>
        </w:rPr>
        <w:t>automatisch pianopedaal</w:t>
      </w:r>
    </w:p>
    <w:p>
      <w:pPr>
        <w:pStyle w:val="T1"/>
        <w:jc w:val="start"/>
        <w:rPr>
          <w:lang w:val="nl-NL"/>
        </w:rPr>
      </w:pPr>
      <w:r>
        <w:rPr>
          <w:lang w:val="nl-NL"/>
        </w:rPr>
        <w:t>tremulant Man II</w:t>
      </w:r>
    </w:p>
    <w:p>
      <w:pPr>
        <w:pStyle w:val="T1"/>
        <w:jc w:val="start"/>
        <w:rPr>
          <w:lang w:val="nl-NL"/>
        </w:rPr>
      </w:pPr>
      <w:r>
        <w:rPr>
          <w:lang w:val="nl-NL"/>
        </w:rPr>
      </w:r>
    </w:p>
    <w:p>
      <w:pPr>
        <w:pStyle w:val="T1"/>
        <w:jc w:val="start"/>
        <w:rPr/>
      </w:pPr>
      <w:r>
        <w:rPr/>
        <w:t>Samenstelling vulstemmen</w:t>
      </w:r>
    </w:p>
    <w:tbl>
      <w:tblPr>
        <w:tblW w:w="4749" w:type="dxa"/>
        <w:jc w:val="start"/>
        <w:tblInd w:w="-70" w:type="dxa"/>
        <w:tblLayout w:type="fixed"/>
        <w:tblCellMar>
          <w:top w:w="0" w:type="dxa"/>
          <w:start w:w="70" w:type="dxa"/>
          <w:bottom w:w="0" w:type="dxa"/>
          <w:end w:w="70" w:type="dxa"/>
        </w:tblCellMar>
      </w:tblPr>
      <w:tblGrid>
        <w:gridCol w:w="1645"/>
        <w:gridCol w:w="619"/>
        <w:gridCol w:w="619"/>
        <w:gridCol w:w="628"/>
        <w:gridCol w:w="619"/>
        <w:gridCol w:w="619"/>
      </w:tblGrid>
      <w:tr>
        <w:trPr/>
        <w:tc>
          <w:tcPr>
            <w:tcW w:w="1645" w:type="dxa"/>
            <w:tcBorders/>
          </w:tcPr>
          <w:p>
            <w:pPr>
              <w:pStyle w:val="T1"/>
              <w:rPr/>
            </w:pPr>
            <w:r>
              <w:rPr/>
              <w:t>Mixtuur Man I</w:t>
            </w:r>
          </w:p>
        </w:tc>
        <w:tc>
          <w:tcPr>
            <w:tcW w:w="61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1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628" w:type="dxa"/>
            <w:tcBorders/>
          </w:tcPr>
          <w:p>
            <w:pPr>
              <w:pStyle w:val="T4dispositie"/>
              <w:rPr>
                <w:lang w:val="nl-NL"/>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61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c>
          <w:tcPr>
            <w:tcW w:w="619" w:type="dxa"/>
            <w:tcBorders/>
          </w:tcPr>
          <w:p>
            <w:pPr>
              <w:pStyle w:val="T4dispositie"/>
              <w:rPr>
                <w:lang w:val="nl-NL"/>
              </w:rPr>
            </w:pPr>
            <w:r>
              <w:rPr>
                <w:lang w:val="nl-NL"/>
              </w:rPr>
              <w:t>d</w:t>
            </w:r>
            <w:r>
              <w:rPr>
                <w:vertAlign w:val="superscript"/>
                <w:lang w:val="nl-NL"/>
              </w:rPr>
              <w:t>3</w:t>
            </w:r>
          </w:p>
          <w:p>
            <w:pPr>
              <w:pStyle w:val="T4dispositie"/>
              <w:rPr/>
            </w:pPr>
            <w:r>
              <w:rPr/>
              <w:t>5 1/3</w:t>
            </w:r>
          </w:p>
          <w:p>
            <w:pPr>
              <w:pStyle w:val="T4dispositie"/>
              <w:rPr/>
            </w:pPr>
            <w:r>
              <w:rPr/>
              <w:t>4</w:t>
            </w:r>
          </w:p>
          <w:p>
            <w:pPr>
              <w:pStyle w:val="T4dispositie"/>
              <w:rPr/>
            </w:pPr>
            <w:r>
              <w:rPr/>
              <w:t>2 2/3</w:t>
            </w:r>
          </w:p>
          <w:p>
            <w:pPr>
              <w:pStyle w:val="T4dispositie"/>
              <w:rPr/>
            </w:pPr>
            <w:r>
              <w:rPr/>
              <w:t>2</w:t>
            </w:r>
          </w:p>
          <w:p>
            <w:pPr>
              <w:pStyle w:val="T4dispositie"/>
              <w:rPr/>
            </w:pPr>
            <w:r>
              <w:rPr/>
              <w:t>2</w:t>
            </w:r>
          </w:p>
        </w:tc>
      </w:tr>
    </w:tbl>
    <w:p>
      <w:pPr>
        <w:pStyle w:val="T1"/>
        <w:jc w:val="start"/>
        <w:rPr/>
      </w:pPr>
      <w:r>
        <w:rPr/>
      </w:r>
    </w:p>
    <w:p>
      <w:pPr>
        <w:pStyle w:val="T1"/>
        <w:jc w:val="start"/>
        <w:rPr/>
      </w:pPr>
      <w:r>
        <w:rPr/>
        <w:t xml:space="preserve">Cornet Man I  </w:t>
      </w:r>
      <w:r>
        <w:rPr>
          <w:sz w:val="20"/>
        </w:rPr>
        <w:t>c</w:t>
      </w:r>
      <w:r>
        <w:rPr>
          <w:sz w:val="20"/>
          <w:szCs w:val="24"/>
          <w:vertAlign w:val="superscript"/>
        </w:rPr>
        <w:t>1</w:t>
      </w:r>
      <w:r>
        <w:rPr>
          <w:sz w:val="20"/>
        </w:rPr>
        <w:t xml:space="preserve">    4 - 2 2/3 -2 - 1 3/5</w:t>
      </w:r>
    </w:p>
    <w:p>
      <w:pPr>
        <w:pStyle w:val="T1"/>
        <w:jc w:val="start"/>
        <w:rPr/>
      </w:pPr>
      <w:r>
        <w:rPr/>
      </w:r>
    </w:p>
    <w:tbl>
      <w:tblPr>
        <w:tblW w:w="4718" w:type="dxa"/>
        <w:jc w:val="start"/>
        <w:tblInd w:w="-70" w:type="dxa"/>
        <w:tblLayout w:type="fixed"/>
        <w:tblCellMar>
          <w:top w:w="0" w:type="dxa"/>
          <w:start w:w="70" w:type="dxa"/>
          <w:bottom w:w="0" w:type="dxa"/>
          <w:end w:w="70" w:type="dxa"/>
        </w:tblCellMar>
      </w:tblPr>
      <w:tblGrid>
        <w:gridCol w:w="1605"/>
        <w:gridCol w:w="619"/>
        <w:gridCol w:w="619"/>
        <w:gridCol w:w="628"/>
        <w:gridCol w:w="619"/>
        <w:gridCol w:w="628"/>
      </w:tblGrid>
      <w:tr>
        <w:trPr/>
        <w:tc>
          <w:tcPr>
            <w:tcW w:w="1605" w:type="dxa"/>
            <w:tcBorders/>
          </w:tcPr>
          <w:p>
            <w:pPr>
              <w:pStyle w:val="T1"/>
              <w:jc w:val="start"/>
              <w:rPr>
                <w:lang w:val="nl-NL"/>
              </w:rPr>
            </w:pPr>
            <w:r>
              <w:rPr>
                <w:lang w:val="nl-NL"/>
              </w:rPr>
              <w:t>Scherp Man II</w:t>
            </w:r>
          </w:p>
        </w:tc>
        <w:tc>
          <w:tcPr>
            <w:tcW w:w="619"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619" w:type="dxa"/>
            <w:tcBorders/>
          </w:tcPr>
          <w:p>
            <w:pPr>
              <w:pStyle w:val="T4dispositie"/>
              <w:rPr/>
            </w:pPr>
            <w:r>
              <w:rPr/>
              <w:t>h</w:t>
            </w:r>
          </w:p>
          <w:p>
            <w:pPr>
              <w:pStyle w:val="T4dispositie"/>
              <w:rPr/>
            </w:pPr>
            <w:r>
              <w:rPr/>
              <w:t>2</w:t>
            </w:r>
          </w:p>
          <w:p>
            <w:pPr>
              <w:pStyle w:val="T4dispositie"/>
              <w:rPr/>
            </w:pPr>
            <w:r>
              <w:rPr/>
              <w:t>1 1/3</w:t>
            </w:r>
          </w:p>
          <w:p>
            <w:pPr>
              <w:pStyle w:val="T4dispositie"/>
              <w:rPr/>
            </w:pPr>
            <w:r>
              <w:rPr/>
              <w:t>1</w:t>
            </w:r>
          </w:p>
        </w:tc>
        <w:tc>
          <w:tcPr>
            <w:tcW w:w="628" w:type="dxa"/>
            <w:tcBorders/>
          </w:tcPr>
          <w:p>
            <w:pPr>
              <w:pStyle w:val="T4dispositie"/>
              <w:rPr/>
            </w:pPr>
            <w:r>
              <w:rPr/>
              <w:t>h</w:t>
            </w:r>
            <w:r>
              <w:rPr>
                <w:vertAlign w:val="superscript"/>
              </w:rPr>
              <w:t>1</w:t>
            </w:r>
          </w:p>
          <w:p>
            <w:pPr>
              <w:pStyle w:val="T4dispositie"/>
              <w:rPr/>
            </w:pPr>
            <w:r>
              <w:rPr/>
              <w:t>2 2/3</w:t>
            </w:r>
          </w:p>
          <w:p>
            <w:pPr>
              <w:pStyle w:val="T4dispositie"/>
              <w:rPr/>
            </w:pPr>
            <w:r>
              <w:rPr/>
              <w:t>2</w:t>
            </w:r>
          </w:p>
          <w:p>
            <w:pPr>
              <w:pStyle w:val="T4dispositie"/>
              <w:rPr/>
            </w:pPr>
            <w:r>
              <w:rPr/>
              <w:t>1 1/3</w:t>
            </w:r>
          </w:p>
        </w:tc>
        <w:tc>
          <w:tcPr>
            <w:tcW w:w="619" w:type="dxa"/>
            <w:tcBorders/>
          </w:tcPr>
          <w:p>
            <w:pPr>
              <w:pStyle w:val="T4dispositie"/>
              <w:rPr/>
            </w:pPr>
            <w:r>
              <w:rPr/>
              <w:t>f</w:t>
            </w:r>
            <w:r>
              <w:rPr>
                <w:vertAlign w:val="superscript"/>
              </w:rPr>
              <w:t>1</w:t>
            </w:r>
          </w:p>
          <w:p>
            <w:pPr>
              <w:pStyle w:val="T4dispositie"/>
              <w:rPr/>
            </w:pPr>
            <w:r>
              <w:rPr/>
              <w:t>4</w:t>
            </w:r>
          </w:p>
          <w:p>
            <w:pPr>
              <w:pStyle w:val="T4dispositie"/>
              <w:rPr/>
            </w:pPr>
            <w:r>
              <w:rPr/>
              <w:t>2 2/3</w:t>
            </w:r>
          </w:p>
          <w:p>
            <w:pPr>
              <w:pStyle w:val="T4dispositie"/>
              <w:rPr/>
            </w:pPr>
            <w:r>
              <w:rPr/>
              <w:t>2</w:t>
            </w:r>
          </w:p>
        </w:tc>
        <w:tc>
          <w:tcPr>
            <w:tcW w:w="628" w:type="dxa"/>
            <w:tcBorders/>
          </w:tcPr>
          <w:p>
            <w:pPr>
              <w:pStyle w:val="T4dispositie"/>
              <w:rPr/>
            </w:pPr>
            <w:r>
              <w:rPr/>
              <w:t>g</w:t>
            </w:r>
            <w:r>
              <w:rPr>
                <w:vertAlign w:val="superscript"/>
              </w:rPr>
              <w:t>2</w:t>
            </w:r>
          </w:p>
          <w:p>
            <w:pPr>
              <w:pStyle w:val="T4dispositie"/>
              <w:rPr/>
            </w:pPr>
            <w:r>
              <w:rPr/>
              <w:t>5 1/3</w:t>
            </w:r>
          </w:p>
          <w:p>
            <w:pPr>
              <w:pStyle w:val="T4dispositie"/>
              <w:rPr/>
            </w:pPr>
            <w:r>
              <w:rPr/>
              <w:t>4</w:t>
            </w:r>
          </w:p>
          <w:p>
            <w:pPr>
              <w:pStyle w:val="T4dispositie"/>
              <w:rPr/>
            </w:pPr>
            <w:r>
              <w:rPr/>
              <w:t>2 2/3</w:t>
            </w:r>
          </w:p>
        </w:tc>
      </w:tr>
    </w:tbl>
    <w:p>
      <w:pPr>
        <w:pStyle w:val="T1"/>
        <w:jc w:val="start"/>
        <w:rPr/>
      </w:pPr>
      <w: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en twee regulateurs</w:t>
      </w:r>
    </w:p>
    <w:p>
      <w:pPr>
        <w:pStyle w:val="T1"/>
        <w:jc w:val="start"/>
        <w:rPr>
          <w:lang w:val="nl-NL"/>
        </w:rPr>
      </w:pPr>
      <w:r>
        <w:rPr>
          <w:lang w:val="nl-NL"/>
        </w:rPr>
        <w:t>Winddruk</w:t>
      </w:r>
    </w:p>
    <w:p>
      <w:pPr>
        <w:pStyle w:val="T1"/>
        <w:jc w:val="start"/>
        <w:rPr>
          <w:lang w:val="nl-NL"/>
        </w:rPr>
      </w:pPr>
      <w:r>
        <w:rPr>
          <w:lang w:val="nl-NL"/>
        </w:rPr>
        <w:t>Man I 70 mm, Man II 61 mm en Ped 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beneden linksvoor in de kerk</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Bij de bouw van dit orgel is pijpwerk van het Proper-orgel (1907) uit de in 1944 verwoeste Wilhelminakerk gebruikt. Dit is vermoedelijk te vinden in de Prestant 8' (h-f</w:t>
      </w:r>
      <w:r>
        <w:rPr>
          <w:vertAlign w:val="superscript"/>
          <w:lang w:val="nl-NL"/>
        </w:rPr>
        <w:t>3</w:t>
      </w:r>
      <w:r>
        <w:rPr>
          <w:lang w:val="nl-NL"/>
        </w:rPr>
        <w:t>), de Holpijp 8' (c-f</w:t>
      </w:r>
      <w:r>
        <w:rPr>
          <w:vertAlign w:val="superscript"/>
          <w:lang w:val="nl-NL"/>
        </w:rPr>
        <w:t>3</w:t>
      </w:r>
      <w:r>
        <w:rPr>
          <w:lang w:val="nl-NL"/>
        </w:rPr>
        <w:t>) van Man I en de niet aangesloten houten pijpen in het front.</w:t>
      </w:r>
    </w:p>
    <w:p>
      <w:pPr>
        <w:pStyle w:val="T1"/>
        <w:jc w:val="start"/>
        <w:rPr/>
      </w:pPr>
      <w:r>
        <w:rPr>
          <w:lang w:val="nl-NL"/>
        </w:rPr>
        <w:t>Het orgel heeft elektrische speel- en registertractuur en pneumatische laden. De C- en Cislade (C-Cis in het midden) van het Man I liggen direct achter het front. C-a van de Prestant 8' staan in het front, b afgevoerd daarachter, h-f</w:t>
      </w:r>
      <w:r>
        <w:rPr>
          <w:vertAlign w:val="superscript"/>
          <w:lang w:val="nl-NL"/>
        </w:rPr>
        <w:t>3</w:t>
      </w:r>
      <w:r>
        <w:rPr>
          <w:lang w:val="nl-NL"/>
        </w:rPr>
        <w:t xml:space="preserve"> op de laden. C-H van de Holpijp is van hout, c-f</w:t>
      </w:r>
      <w:r>
        <w:rPr>
          <w:vertAlign w:val="superscript"/>
          <w:lang w:val="nl-NL"/>
        </w:rPr>
        <w:t>3</w:t>
      </w:r>
      <w:r>
        <w:rPr>
          <w:lang w:val="nl-NL"/>
        </w:rPr>
        <w:t xml:space="preserve"> gedekt, metaal. C-H van de Viola is gecombineerd met de Holpijp. c-f</w:t>
      </w:r>
      <w:r>
        <w:rPr>
          <w:vertAlign w:val="superscript"/>
          <w:lang w:val="nl-NL"/>
        </w:rPr>
        <w:t>3</w:t>
      </w:r>
      <w:r>
        <w:rPr>
          <w:lang w:val="nl-NL"/>
        </w:rPr>
        <w:t xml:space="preserve"> metaal, met stemkrullen. De Octaaf 4' heeft opgeworpen labia, tot en met f</w:t>
      </w:r>
      <w:r>
        <w:rPr>
          <w:vertAlign w:val="superscript"/>
          <w:lang w:val="nl-NL"/>
        </w:rPr>
        <w:t>1</w:t>
      </w:r>
      <w:r>
        <w:rPr>
          <w:lang w:val="nl-NL"/>
        </w:rPr>
        <w:t xml:space="preserve"> expressions, fis</w:t>
      </w:r>
      <w:r>
        <w:rPr>
          <w:vertAlign w:val="superscript"/>
          <w:lang w:val="nl-NL"/>
        </w:rPr>
        <w:t>1</w:t>
      </w:r>
      <w:r>
        <w:rPr>
          <w:lang w:val="nl-NL"/>
        </w:rPr>
        <w:t>-f</w:t>
      </w:r>
      <w:r>
        <w:rPr>
          <w:vertAlign w:val="superscript"/>
          <w:lang w:val="nl-NL"/>
        </w:rPr>
        <w:t>2</w:t>
      </w:r>
      <w:r>
        <w:rPr>
          <w:lang w:val="nl-NL"/>
        </w:rPr>
        <w:t xml:space="preserve"> stemkrullen, daarna open. De Fluit 4' is een roerfluit; gis</w:t>
      </w:r>
      <w:r>
        <w:rPr>
          <w:vertAlign w:val="superscript"/>
          <w:lang w:val="nl-NL"/>
        </w:rPr>
        <w:t>2</w:t>
      </w:r>
      <w:r>
        <w:rPr>
          <w:lang w:val="nl-NL"/>
        </w:rPr>
        <w:t>-f</w:t>
      </w:r>
      <w:r>
        <w:rPr>
          <w:vertAlign w:val="superscript"/>
          <w:lang w:val="nl-NL"/>
        </w:rPr>
        <w:t>3</w:t>
      </w:r>
      <w:r>
        <w:rPr>
          <w:lang w:val="nl-NL"/>
        </w:rPr>
        <w:t xml:space="preserve"> open, conisch. De Quint en Octaaf zijn van metaal, open. De Trompet 8' heeft van C-H koperen bekers, het vervolg van spotted metal, metalen koppen en stevels; vanaf gis</w:t>
      </w:r>
      <w:r>
        <w:rPr>
          <w:vertAlign w:val="superscript"/>
          <w:lang w:val="nl-NL"/>
        </w:rPr>
        <w:t>2</w:t>
      </w:r>
      <w:r>
        <w:rPr>
          <w:lang w:val="nl-NL"/>
        </w:rPr>
        <w:t xml:space="preserve"> dubbele bekerlengte.</w:t>
      </w:r>
    </w:p>
    <w:p>
      <w:pPr>
        <w:pStyle w:val="T1"/>
        <w:jc w:val="start"/>
        <w:rPr/>
      </w:pPr>
      <w:r>
        <w:rPr>
          <w:lang w:val="nl-NL"/>
        </w:rPr>
        <w:t>De lade van Man II ligt achter die van het Man I gescheiden door een stemgang. C in het midden en in grootte naar weerszijden aflopend. C-H van de Prestant 8' is van hout, het vervolg van metaal. C-H van de Roerfluit 8' is gecombineerd met de Prestant; C-g</w:t>
      </w:r>
      <w:r>
        <w:rPr>
          <w:vertAlign w:val="superscript"/>
          <w:lang w:val="nl-NL"/>
        </w:rPr>
        <w:t>3</w:t>
      </w:r>
      <w:r>
        <w:rPr>
          <w:lang w:val="nl-NL"/>
        </w:rPr>
        <w:t xml:space="preserve"> metaal. De Nachthoorn is van C-f</w:t>
      </w:r>
      <w:r>
        <w:rPr>
          <w:vertAlign w:val="superscript"/>
          <w:lang w:val="nl-NL"/>
        </w:rPr>
        <w:t>2</w:t>
      </w:r>
      <w:r>
        <w:rPr>
          <w:lang w:val="nl-NL"/>
        </w:rPr>
        <w:t xml:space="preserve"> gedekt met roeren, fis</w:t>
      </w:r>
      <w:r>
        <w:rPr>
          <w:vertAlign w:val="superscript"/>
          <w:lang w:val="nl-NL"/>
        </w:rPr>
        <w:t>2</w:t>
      </w:r>
      <w:r>
        <w:rPr>
          <w:lang w:val="nl-NL"/>
        </w:rPr>
        <w:t>-g</w:t>
      </w:r>
      <w:r>
        <w:rPr>
          <w:vertAlign w:val="superscript"/>
          <w:lang w:val="nl-NL"/>
        </w:rPr>
        <w:t>3</w:t>
      </w:r>
      <w:r>
        <w:rPr>
          <w:lang w:val="nl-NL"/>
        </w:rPr>
        <w:t xml:space="preserve"> open, conisch. De Gemshoorn is van metaal, open, conisch. De Nasard is geheel open, metaal. De Hobo 8' heeft voor C-H messing bekers, c-g</w:t>
      </w:r>
      <w:r>
        <w:rPr>
          <w:vertAlign w:val="superscript"/>
          <w:lang w:val="nl-NL"/>
        </w:rPr>
        <w:t>3</w:t>
      </w:r>
      <w:r>
        <w:rPr>
          <w:lang w:val="nl-NL"/>
        </w:rPr>
        <w:t xml:space="preserve"> gedekt.</w:t>
      </w:r>
    </w:p>
    <w:p>
      <w:pPr>
        <w:pStyle w:val="T1"/>
        <w:jc w:val="start"/>
        <w:rPr>
          <w:lang w:val="nl-NL"/>
        </w:rPr>
      </w:pPr>
      <w:r>
        <w:rPr>
          <w:lang w:val="nl-NL"/>
        </w:rPr>
        <w:t>De lade van het Ped is chromatisch ingedeeld en staat links, haaks op het front, de kleinste pijpen vooraan. De Subbas 16' is geheel van hout en staat verspreid door het orgel. Alle ander pedaalregisters staan op de lade. De Octaafbas, de Gedekt en de Koraalbas zijn van metaal. De Nachthoorn 2' is roergedekt, van metaal. De Fagot 16' heeft van C-H halve bekerlengte, houten stevels en metalen koppen; C-h koperen bekers, daarna orgelmetaal. Vanaf c zowel stevels als koppen van metaal.</w:t>
      </w:r>
    </w:p>
    <w:p>
      <w:pPr>
        <w:pStyle w:val="T1"/>
        <w:jc w:val="start"/>
        <w:rPr/>
      </w:pPr>
      <w:r>
        <w:rPr>
          <w:lang w:val="nl-NL"/>
        </w:rPr>
        <w:t>Opmerkelijk is nog dat de lade van het Man I een omvang heeft van C-g</w:t>
      </w:r>
      <w:r>
        <w:rPr>
          <w:vertAlign w:val="superscript"/>
          <w:lang w:val="nl-NL"/>
        </w:rPr>
        <w:t>3</w:t>
      </w:r>
      <w:r>
        <w:rPr>
          <w:lang w:val="nl-NL"/>
        </w:rPr>
        <w:t xml:space="preserve"> maar het pijpwerk van fis</w:t>
      </w:r>
      <w:r>
        <w:rPr>
          <w:vertAlign w:val="superscript"/>
          <w:lang w:val="nl-NL"/>
        </w:rPr>
        <w:t>3</w:t>
      </w:r>
      <w:r>
        <w:rPr>
          <w:lang w:val="nl-NL"/>
        </w:rPr>
        <w:t xml:space="preserve"> en g</w:t>
      </w:r>
      <w:r>
        <w:rPr>
          <w:vertAlign w:val="superscript"/>
          <w:lang w:val="nl-NL"/>
        </w:rPr>
        <w:t>3</w:t>
      </w:r>
      <w:r>
        <w:rPr>
          <w:lang w:val="nl-NL"/>
        </w:rPr>
        <w:t xml:space="preserve"> ontbreekt.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2010-03-23T00:18:00Z</dcterms:created>
  <dc:creator>WS1</dc:creator>
  <dc:description/>
  <dc:language>en-US</dc:language>
  <cp:lastModifiedBy>NIvO</cp:lastModifiedBy>
  <dcterms:modified xsi:type="dcterms:W3CDTF">2010-03-23T17:05:00Z</dcterms:modified>
  <cp:revision>4</cp:revision>
  <dc:subject/>
  <dc:title>Zeeland / 1895</dc:title>
</cp:coreProperties>
</file>