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Heerenveen / 1959</w:t>
      </w:r>
    </w:p>
    <w:p>
      <w:pPr>
        <w:pStyle w:val="Heading2"/>
        <w:rPr>
          <w:i w:val="false"/>
          <w:i w:val="false"/>
          <w:iCs/>
        </w:rPr>
      </w:pPr>
      <w:r>
        <w:rPr>
          <w:i w:val="false"/>
          <w:iCs/>
        </w:rPr>
        <w:t>Kruiskerk</w:t>
      </w:r>
    </w:p>
    <w:p>
      <w:pPr>
        <w:pStyle w:val="Normal"/>
        <w:rPr>
          <w:rFonts w:ascii="Times New Roman" w:hAnsi="Times New Roman" w:cs="Times New Roman"/>
          <w:i/>
          <w:i/>
          <w:iCs/>
        </w:rPr>
      </w:pPr>
      <w:r>
        <w:rPr>
          <w:rFonts w:cs="Times New Roman" w:ascii="Times New Roman" w:hAnsi="Times New Roman"/>
          <w:i/>
          <w:iCs/>
        </w:rPr>
      </w:r>
    </w:p>
    <w:p>
      <w:pPr>
        <w:pStyle w:val="T1"/>
        <w:jc w:val="start"/>
        <w:rPr>
          <w:i/>
          <w:i/>
          <w:iCs/>
          <w:lang w:val="nl-NL"/>
        </w:rPr>
      </w:pPr>
      <w:r>
        <w:rPr>
          <w:i/>
          <w:iCs/>
          <w:lang w:val="nl-NL"/>
        </w:rPr>
        <w:t>Gebouwd in 1921 als Gereformeerde Kerk naar een definitief ontwerp van A. Nauta en C. Draaisma, nadat aannemer H. Diepenbroek de eerste schetsen had geleverd. Het is een van de eerste kerken waarbij gewapend beton werd toegepast voor het opgaand muurwerk.</w:t>
      </w:r>
    </w:p>
    <w:p>
      <w:pPr>
        <w:pStyle w:val="T1"/>
        <w:jc w:val="start"/>
        <w:rPr>
          <w:i/>
          <w:i/>
          <w:iCs/>
          <w:lang w:val="nl-NL"/>
        </w:rPr>
      </w:pPr>
      <w:r>
        <w:rPr>
          <w:i/>
          <w:iCs/>
          <w:lang w:val="nl-NL"/>
        </w:rPr>
        <w:t>De kerk is gebouwd op een T-vormig grondplan en heeft aan drie zijden een galerij. De ruimte is gedekt met houten, trapeziumvormige kappen. In de vensters is non-figuratief gekleurd glas aanwezig. Bij een renovatie in 1963 werden de oorspronkelijke kronen en armaturen verwijderd en verdwenen de kerkenraadsbanken en het doophek. Door het overschilderen van de kappen ging de oorspronkelijke beschildering hiervan verloren. De op onderdelen licht gewijzigde kansel bleef wel bewaard.</w:t>
      </w:r>
    </w:p>
    <w:p>
      <w:pPr>
        <w:pStyle w:val="T1"/>
        <w:jc w:val="start"/>
        <w:rPr>
          <w:i/>
          <w:i/>
          <w:iCs/>
          <w:lang w:val="nl-NL"/>
        </w:rPr>
      </w:pPr>
      <w:r>
        <w:rPr>
          <w:i/>
          <w:iCs/>
          <w:lang w:val="nl-NL"/>
        </w:rPr>
      </w:r>
    </w:p>
    <w:p>
      <w:pPr>
        <w:pStyle w:val="T1"/>
        <w:jc w:val="start"/>
        <w:rPr>
          <w:lang w:val="nl-NL"/>
        </w:rPr>
      </w:pPr>
      <w:r>
        <w:rPr>
          <w:lang w:val="nl-NL"/>
        </w:rPr>
        <w:t>Kas: 1959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dat zich schaart in de reeks van vroege Nederlandse fronten waarin het op de Noord-Europese barok teruggrijpend ‘Werkprinzip’ de vormgeving heeft bepaald.</w:t>
      </w:r>
    </w:p>
    <w:p>
      <w:pPr>
        <w:pStyle w:val="T2Kunst"/>
        <w:jc w:val="start"/>
        <w:rPr>
          <w:lang w:val="nl-NL"/>
        </w:rPr>
      </w:pPr>
      <w:r>
        <w:rPr>
          <w:lang w:val="nl-NL"/>
        </w:rPr>
        <w:t>De drie werken, rugwerk, hoofdwerk en vrij pedaal, kregen elk zelfstandige, onderling niet met elkaar verbonden kassen, het pedaal gesplitst in twee pedaalkassen. De frontpijpen van het pedaal zijn van wat langere voeten voorzien, waardoor de twee acht-voets basisregisters (hoofdwerk en pedaal) zich enigszins van elkaar onderscheiden. Het rugwerk heeft, ondanks de aanwezigheid van een Prestant 8’, een vier-voets front.</w:t>
      </w:r>
    </w:p>
    <w:p>
      <w:pPr>
        <w:pStyle w:val="T2Kunst"/>
        <w:jc w:val="start"/>
        <w:rPr>
          <w:lang w:val="nl-NL"/>
        </w:rPr>
      </w:pPr>
      <w:r>
        <w:rPr>
          <w:lang w:val="nl-NL"/>
        </w:rPr>
        <w:t>Alle frontvelden zijn vlak uitgevoerd. De bovenlijnen van de kassen zijn samengesteld uit korte haakse en langere ingezwenkte lijsten. Soortgelijke vormen werden in de jaren vijftig ook door andere orgelmakers toegepast. Blinderingen boven het frontpijpwerk ontbreken geheel. Al met al een overtuigende representant van de Nederlandse orgelbouw in de wederopbouwperiode.</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i/>
          <w:lang w:val="nl-NL"/>
        </w:rPr>
        <w:t>De Harp</w:t>
      </w:r>
      <w:r>
        <w:rPr>
          <w:iCs/>
          <w:lang w:val="nl-NL"/>
        </w:rPr>
        <w:t>, augustus 1922, 62.</w:t>
      </w:r>
    </w:p>
    <w:p>
      <w:pPr>
        <w:pStyle w:val="T3Lit"/>
        <w:jc w:val="start"/>
        <w:rPr/>
      </w:pPr>
      <w:r>
        <w:rPr>
          <w:i/>
          <w:lang w:val="nl-NL"/>
        </w:rPr>
        <w:t>Organist en Eredienst</w:t>
      </w:r>
      <w:r>
        <w:rPr>
          <w:iCs/>
          <w:lang w:val="nl-NL"/>
        </w:rPr>
        <w:t>, 25 (19..), nr. 275, ..</w:t>
      </w:r>
    </w:p>
    <w:p>
      <w:pPr>
        <w:pStyle w:val="T3Lit"/>
        <w:jc w:val="start"/>
        <w:rPr/>
      </w:pPr>
      <w:r>
        <w:rPr>
          <w:i/>
          <w:lang w:val="nl-NL"/>
        </w:rPr>
        <w:t>Het Orgel</w:t>
      </w:r>
      <w:r>
        <w:rPr>
          <w:iCs/>
          <w:lang w:val="nl-NL"/>
        </w:rPr>
        <w:t>, 38/7 (1941), 12.</w:t>
      </w:r>
    </w:p>
    <w:p>
      <w:pPr>
        <w:pStyle w:val="T3Lit"/>
        <w:jc w:val="start"/>
        <w:rPr/>
      </w:pPr>
      <w:r>
        <w:rPr>
          <w:i/>
          <w:lang w:val="nl-NL"/>
        </w:rPr>
        <w:t>Het Orgelblad</w:t>
      </w:r>
      <w:r>
        <w:rPr>
          <w:iCs/>
          <w:lang w:val="nl-NL"/>
        </w:rPr>
        <w:t>, 2/6 (1959), 92.</w:t>
      </w:r>
    </w:p>
    <w:p>
      <w:pPr>
        <w:pStyle w:val="T3Lit"/>
        <w:jc w:val="start"/>
        <w:rPr/>
      </w:pPr>
      <w:r>
        <w:rPr>
          <w:i/>
          <w:lang w:val="nl-NL"/>
        </w:rPr>
        <w:t>De Orgelvriend</w:t>
      </w:r>
      <w:r>
        <w:rPr>
          <w:iCs/>
          <w:lang w:val="nl-NL"/>
        </w:rPr>
        <w:t>, 12/8 (1970), 18.</w:t>
      </w:r>
    </w:p>
    <w:p>
      <w:pPr>
        <w:pStyle w:val="T3Lit"/>
        <w:jc w:val="start"/>
        <w:rPr>
          <w:iCs/>
          <w:lang w:val="nl-NL"/>
        </w:rPr>
      </w:pPr>
      <w:r>
        <w:rPr>
          <w:iCs/>
          <w:lang w:val="nl-NL"/>
        </w:rPr>
      </w:r>
    </w:p>
    <w:p>
      <w:pPr>
        <w:pStyle w:val="T3Lit"/>
        <w:jc w:val="start"/>
        <w:rPr>
          <w:iCs/>
          <w:lang w:val="nl-NL"/>
        </w:rPr>
      </w:pPr>
      <w:r>
        <w:rPr>
          <w:b/>
          <w:bCs/>
          <w:iCs/>
          <w:lang w:val="nl-NL"/>
        </w:rPr>
        <w:t>Niet gepubliceerde bron</w:t>
      </w:r>
    </w:p>
    <w:p>
      <w:pPr>
        <w:pStyle w:val="T3Lit"/>
        <w:jc w:val="start"/>
        <w:rPr>
          <w:iCs/>
          <w:lang w:val="nl-NL"/>
        </w:rPr>
      </w:pPr>
      <w:r>
        <w:rPr>
          <w:iCs/>
          <w:lang w:val="nl-NL"/>
        </w:rPr>
        <w:t>Archief Orgelmakerij Reil.</w:t>
      </w:r>
    </w:p>
    <w:p>
      <w:pPr>
        <w:pStyle w:val="T3Lit"/>
        <w:jc w:val="start"/>
        <w:rPr>
          <w:iCs/>
          <w:lang w:val="nl-NL"/>
        </w:rPr>
      </w:pPr>
      <w:r>
        <w:rPr>
          <w:i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Reil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1959</w:t>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Gebr. Reil 1978</w:t>
      </w:r>
    </w:p>
    <w:p>
      <w:pPr>
        <w:pStyle w:val="T1"/>
        <w:numPr>
          <w:ilvl w:val="0"/>
          <w:numId w:val="2"/>
        </w:numPr>
        <w:jc w:val="start"/>
        <w:rPr>
          <w:lang w:val="nl-NL"/>
        </w:rPr>
      </w:pPr>
      <w:r>
        <w:rPr>
          <w:lang w:val="nl-NL"/>
        </w:rPr>
        <w:t>speeltracturen vernieuwd</w:t>
      </w:r>
    </w:p>
    <w:p>
      <w:pPr>
        <w:pStyle w:val="T1"/>
        <w:jc w:val="start"/>
        <w:rPr>
          <w:lang w:val="nl-NL"/>
        </w:rPr>
      </w:pPr>
      <w:r>
        <w:rPr>
          <w:lang w:val="nl-NL"/>
        </w:rPr>
      </w:r>
    </w:p>
    <w:p>
      <w:pPr>
        <w:pStyle w:val="T1"/>
        <w:jc w:val="start"/>
        <w:rPr>
          <w:lang w:val="nl-NL"/>
        </w:rPr>
      </w:pPr>
      <w:r>
        <w:rPr>
          <w:lang w:val="nl-NL"/>
        </w:rPr>
        <w:t>Gebr. Reil 1981</w:t>
      </w:r>
    </w:p>
    <w:p>
      <w:pPr>
        <w:pStyle w:val="T1"/>
        <w:numPr>
          <w:ilvl w:val="0"/>
          <w:numId w:val="2"/>
        </w:numPr>
        <w:jc w:val="start"/>
        <w:rPr>
          <w:lang w:val="nl-NL"/>
        </w:rPr>
      </w:pPr>
      <w:r>
        <w:rPr>
          <w:lang w:val="nl-NL"/>
        </w:rPr>
        <w:t>herintonatie, ongelijkzwevende temperatuur aangebracht</w:t>
      </w:r>
    </w:p>
    <w:p>
      <w:pPr>
        <w:pStyle w:val="T1"/>
        <w:jc w:val="start"/>
        <w:rPr>
          <w:lang w:val="nl-NL"/>
        </w:rPr>
      </w:pPr>
      <w:r>
        <w:rPr>
          <w:lang w:val="nl-NL"/>
        </w:rPr>
      </w:r>
    </w:p>
    <w:p>
      <w:pPr>
        <w:pStyle w:val="T1"/>
        <w:jc w:val="start"/>
        <w:rPr>
          <w:lang w:val="nl-NL"/>
        </w:rPr>
      </w:pPr>
      <w:r>
        <w:rPr>
          <w:lang w:val="nl-NL"/>
        </w:rPr>
        <w:t>Gebr. Reil 1984</w:t>
      </w:r>
    </w:p>
    <w:p>
      <w:pPr>
        <w:pStyle w:val="T1"/>
        <w:numPr>
          <w:ilvl w:val="0"/>
          <w:numId w:val="2"/>
        </w:numPr>
        <w:jc w:val="start"/>
        <w:rPr>
          <w:lang w:val="nl-NL"/>
        </w:rPr>
      </w:pPr>
      <w:r>
        <w:rPr>
          <w:lang w:val="nl-NL"/>
        </w:rPr>
        <w:t>HW Mixtuur vernieuwd</w:t>
      </w:r>
    </w:p>
    <w:p>
      <w:pPr>
        <w:pStyle w:val="T1"/>
        <w:jc w:val="start"/>
        <w:rPr>
          <w:lang w:val="nl-NL"/>
        </w:rPr>
      </w:pPr>
      <w:r>
        <w:rPr>
          <w:lang w:val="nl-NL"/>
        </w:rPr>
      </w:r>
    </w:p>
    <w:p>
      <w:pPr>
        <w:pStyle w:val="T1"/>
        <w:jc w:val="start"/>
        <w:rPr>
          <w:lang w:val="nl-NL"/>
        </w:rPr>
      </w:pPr>
      <w:r>
        <w:rPr>
          <w:lang w:val="nl-NL"/>
        </w:rPr>
        <w:t>Gebr. Reil 1993</w:t>
      </w:r>
    </w:p>
    <w:p>
      <w:pPr>
        <w:pStyle w:val="T1"/>
        <w:numPr>
          <w:ilvl w:val="0"/>
          <w:numId w:val="2"/>
        </w:numPr>
        <w:jc w:val="start"/>
        <w:rPr>
          <w:lang w:val="nl-NL"/>
        </w:rPr>
      </w:pPr>
      <w:r>
        <w:rPr>
          <w:lang w:val="nl-NL"/>
        </w:rPr>
        <w:t>restauratie magazijnbalg</w:t>
      </w:r>
    </w:p>
    <w:p>
      <w:pPr>
        <w:pStyle w:val="T1"/>
        <w:jc w:val="start"/>
        <w:rPr>
          <w:lang w:val="nl-NL"/>
        </w:rPr>
      </w:pPr>
      <w:r>
        <w:rPr>
          <w:lang w:val="nl-NL"/>
        </w:rPr>
      </w:r>
    </w:p>
    <w:p>
      <w:pPr>
        <w:pStyle w:val="T1"/>
        <w:jc w:val="start"/>
        <w:rPr>
          <w:lang w:val="nl-NL"/>
        </w:rPr>
      </w:pPr>
      <w:r>
        <w:rPr>
          <w:lang w:val="nl-NL"/>
        </w:rPr>
        <w:t>Orgelmakerij Reil 2002</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laden en mechanieken opnieuw afgeregeld</w:t>
      </w:r>
    </w:p>
    <w:p>
      <w:pPr>
        <w:pStyle w:val="T1"/>
        <w:numPr>
          <w:ilvl w:val="0"/>
          <w:numId w:val="2"/>
        </w:numPr>
        <w:jc w:val="start"/>
        <w:rPr>
          <w:lang w:val="nl-NL"/>
        </w:rPr>
      </w:pPr>
      <w:r>
        <w:rPr>
          <w:lang w:val="nl-NL"/>
        </w:rPr>
        <w:t>geoxideerde koppen Fagot 16' schoongemaakt.</w:t>
      </w:r>
    </w:p>
    <w:p>
      <w:pPr>
        <w:pStyle w:val="T1"/>
        <w:numPr>
          <w:ilvl w:val="0"/>
          <w:numId w:val="2"/>
        </w:numPr>
        <w:jc w:val="start"/>
        <w:rPr>
          <w:lang w:val="fr-FR"/>
        </w:rPr>
      </w:pPr>
      <w:r>
        <w:rPr>
          <w:lang w:val="fr-FR"/>
        </w:rPr>
        <w:t>HW Quintadeen 16' $ Bourdon 16'</w:t>
      </w:r>
    </w:p>
    <w:p>
      <w:pPr>
        <w:pStyle w:val="T1"/>
        <w:numPr>
          <w:ilvl w:val="0"/>
          <w:numId w:val="2"/>
        </w:numPr>
        <w:jc w:val="start"/>
        <w:rPr>
          <w:lang w:val="nl-NL"/>
        </w:rPr>
      </w:pPr>
      <w:r>
        <w:rPr>
          <w:lang w:val="nl-NL"/>
        </w:rPr>
        <w:t>evenredig zwevende temperatuur gelegd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 xml:space="preserve">Dispositie </w:t>
      </w:r>
    </w:p>
    <w:tbl>
      <w:tblPr>
        <w:tblW w:w="7450" w:type="dxa"/>
        <w:jc w:val="start"/>
        <w:tblInd w:w="-70" w:type="dxa"/>
        <w:tblLayout w:type="fixed"/>
        <w:tblCellMar>
          <w:top w:w="0" w:type="dxa"/>
          <w:start w:w="70" w:type="dxa"/>
          <w:bottom w:w="0" w:type="dxa"/>
          <w:end w:w="70" w:type="dxa"/>
        </w:tblCellMar>
      </w:tblPr>
      <w:tblGrid>
        <w:gridCol w:w="1510"/>
        <w:gridCol w:w="900"/>
        <w:gridCol w:w="1620"/>
        <w:gridCol w:w="900"/>
        <w:gridCol w:w="1567"/>
        <w:gridCol w:w="953"/>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Gedektfluit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r>
              <w:rPr/>
              <w:t>'</w:t>
            </w:r>
          </w:p>
          <w:p>
            <w:pPr>
              <w:pStyle w:val="T4dispositie"/>
              <w:jc w:val="start"/>
              <w:rPr>
                <w:lang w:val="nl-NL"/>
              </w:rPr>
            </w:pPr>
            <w:r>
              <w:rPr>
                <w:lang w:val="nl-NL"/>
              </w:rPr>
              <w:t>2'</w:t>
            </w:r>
          </w:p>
          <w:p>
            <w:pPr>
              <w:pStyle w:val="T4dispositie"/>
              <w:jc w:val="start"/>
              <w:rPr>
                <w:lang w:val="nl-NL"/>
              </w:rPr>
            </w:pPr>
            <w:r>
              <w:rPr>
                <w:lang w:val="nl-NL"/>
              </w:rPr>
              <w:t>3-4-5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Rugpositief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Baardpijp</w:t>
            </w:r>
          </w:p>
          <w:p>
            <w:pPr>
              <w:pStyle w:val="T4dispositie"/>
              <w:jc w:val="start"/>
              <w:rPr>
                <w:lang w:val="nl-NL"/>
              </w:rPr>
            </w:pPr>
            <w:r>
              <w:rPr>
                <w:lang w:val="nl-NL"/>
              </w:rPr>
              <w:t>Woudfluit</w:t>
            </w:r>
          </w:p>
          <w:p>
            <w:pPr>
              <w:pStyle w:val="T4dispositie"/>
              <w:jc w:val="start"/>
              <w:rPr>
                <w:lang w:val="nl-NL"/>
              </w:rPr>
            </w:pPr>
            <w:r>
              <w:rPr>
                <w:lang w:val="nl-NL"/>
              </w:rPr>
              <w:t>Sesquialter</w:t>
            </w:r>
          </w:p>
          <w:p>
            <w:pPr>
              <w:pStyle w:val="T4dispositie"/>
              <w:jc w:val="start"/>
              <w:rPr>
                <w:lang w:val="nl-NL"/>
              </w:rPr>
            </w:pPr>
            <w:r>
              <w:rPr>
                <w:lang w:val="nl-NL"/>
              </w:rPr>
              <w:t>Scherp</w:t>
            </w:r>
          </w:p>
          <w:p>
            <w:pPr>
              <w:pStyle w:val="T4dispositie"/>
              <w:jc w:val="start"/>
              <w:rPr>
                <w:lang w:val="nl-NL"/>
              </w:rPr>
            </w:pPr>
            <w:r>
              <w:rPr>
                <w:lang w:val="nl-NL"/>
              </w:rPr>
              <w:t>Dulciaan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3 st.</w:t>
            </w:r>
          </w:p>
          <w:p>
            <w:pPr>
              <w:pStyle w:val="T4dispositie"/>
              <w:jc w:val="start"/>
              <w:rPr>
                <w:lang w:val="nl-NL"/>
              </w:rPr>
            </w:pPr>
            <w:r>
              <w:rPr>
                <w:lang w:val="nl-NL"/>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Koraalbas</w:t>
            </w:r>
          </w:p>
          <w:p>
            <w:pPr>
              <w:pStyle w:val="T4dispositie"/>
              <w:jc w:val="start"/>
              <w:rPr>
                <w:lang w:val="nl-NL"/>
              </w:rPr>
            </w:pPr>
            <w:r>
              <w:rPr>
                <w:lang w:val="nl-NL"/>
              </w:rPr>
              <w:t>Fagot</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r>
              <w:rPr/>
              <w:t>'</w:t>
            </w:r>
          </w:p>
          <w:p>
            <w:pPr>
              <w:pStyle w:val="T4dispositie"/>
              <w:jc w:val="start"/>
              <w:rPr>
                <w:lang w:val="nl-NL"/>
              </w:rPr>
            </w:pPr>
            <w:r>
              <w:rPr>
                <w:lang w:val="nl-NL"/>
              </w:rPr>
              <w:t>16</w:t>
            </w:r>
            <w:r>
              <w:rPr/>
              <w:t>'</w:t>
            </w:r>
          </w:p>
        </w:tc>
      </w:tr>
    </w:tbl>
    <w:p>
      <w:pPr>
        <w:pStyle w:val="T1"/>
        <w:jc w:val="start"/>
        <w:rPr>
          <w:lang w:val="nl-NL"/>
        </w:rPr>
      </w:pPr>
      <w:r>
        <w:rPr>
          <w:lang w:val="nl-NL"/>
        </w:rPr>
      </w:r>
    </w:p>
    <w:p>
      <w:pPr>
        <w:pStyle w:val="T1"/>
        <w:jc w:val="start"/>
        <w:rPr>
          <w:szCs w:val="24"/>
          <w:lang w:val="nl-NL"/>
        </w:rPr>
      </w:pPr>
      <w:r>
        <w:rPr>
          <w:lang w:val="nl-NL"/>
        </w:rPr>
        <w:t>Werktuiglijke registers</w:t>
      </w:r>
    </w:p>
    <w:p>
      <w:pPr>
        <w:pStyle w:val="Normal"/>
        <w:rPr>
          <w:rFonts w:ascii="Times New Roman" w:hAnsi="Times New Roman" w:cs="Times New Roman"/>
          <w:szCs w:val="24"/>
        </w:rPr>
      </w:pPr>
      <w:r>
        <w:rPr>
          <w:rFonts w:cs="Times New Roman" w:ascii="Times New Roman" w:hAnsi="Times New Roman"/>
          <w:szCs w:val="24"/>
        </w:rPr>
        <w:t>koppelingen I-II, Ped-I, Ped-II</w:t>
      </w:r>
    </w:p>
    <w:p>
      <w:pPr>
        <w:pStyle w:val="Normal"/>
        <w:rPr>
          <w:rFonts w:ascii="Times New Roman" w:hAnsi="Times New Roman" w:cs="Times New Roman"/>
          <w:szCs w:val="24"/>
        </w:rPr>
      </w:pPr>
      <w:r>
        <w:rPr>
          <w:rFonts w:cs="Times New Roman" w:ascii="Times New Roman" w:hAnsi="Times New Roman"/>
          <w:szCs w:val="24"/>
        </w:rPr>
        <w:t>tremulant RP</w:t>
      </w:r>
    </w:p>
    <w:p>
      <w:pPr>
        <w:pStyle w:val="T1"/>
        <w:jc w:val="start"/>
        <w:rPr>
          <w:rFonts w:ascii="Times New Roman" w:hAnsi="Times New Roman" w:cs="Times New Roman"/>
          <w:szCs w:val="24"/>
          <w:lang w:val="nl-NL"/>
        </w:rPr>
      </w:pPr>
      <w:r>
        <w:rPr>
          <w:rFonts w:cs="Times New Roman"/>
          <w:szCs w:val="24"/>
          <w:lang w:val="nl-NL"/>
        </w:rPr>
      </w:r>
    </w:p>
    <w:p>
      <w:pPr>
        <w:pStyle w:val="T1"/>
        <w:jc w:val="start"/>
        <w:rPr>
          <w:lang w:val="nl-NL"/>
        </w:rPr>
      </w:pPr>
      <w:r>
        <w:rPr>
          <w:lang w:val="nl-NL"/>
        </w:rPr>
        <w:t>Samenstelling vulstemmen</w:t>
      </w:r>
    </w:p>
    <w:tbl>
      <w:tblPr>
        <w:tblW w:w="5262" w:type="dxa"/>
        <w:jc w:val="start"/>
        <w:tblInd w:w="-70" w:type="dxa"/>
        <w:tblLayout w:type="fixed"/>
        <w:tblCellMar>
          <w:top w:w="0" w:type="dxa"/>
          <w:start w:w="70" w:type="dxa"/>
          <w:bottom w:w="0" w:type="dxa"/>
          <w:end w:w="70" w:type="dxa"/>
        </w:tblCellMar>
      </w:tblPr>
      <w:tblGrid>
        <w:gridCol w:w="1639"/>
        <w:gridCol w:w="558"/>
        <w:gridCol w:w="632"/>
        <w:gridCol w:w="811"/>
        <w:gridCol w:w="811"/>
        <w:gridCol w:w="811"/>
      </w:tblGrid>
      <w:tr>
        <w:trPr>
          <w:trHeight w:val="571" w:hRule="atLeast"/>
        </w:trPr>
        <w:tc>
          <w:tcPr>
            <w:tcW w:w="1639" w:type="dxa"/>
            <w:tcBorders/>
          </w:tcPr>
          <w:p>
            <w:pPr>
              <w:pStyle w:val="T1"/>
              <w:jc w:val="start"/>
              <w:rPr>
                <w:lang w:val="nl-NL"/>
              </w:rPr>
            </w:pPr>
            <w:r>
              <w:rPr>
                <w:lang w:val="nl-NL"/>
              </w:rPr>
              <w:t>Mixtuur HW</w:t>
            </w:r>
          </w:p>
        </w:tc>
        <w:tc>
          <w:tcPr>
            <w:tcW w:w="55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32"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811" w:type="dxa"/>
            <w:tcBorders/>
          </w:tcPr>
          <w:p>
            <w:pPr>
              <w:pStyle w:val="T4dispositie"/>
              <w:rPr>
                <w:lang w:val="nl-NL"/>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811" w:type="dxa"/>
            <w:tcBorders/>
          </w:tcPr>
          <w:p>
            <w:pPr>
              <w:pStyle w:val="T4dispositie"/>
              <w:rPr>
                <w:lang w:val="nl-NL"/>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811" w:type="dxa"/>
            <w:tcBorders/>
          </w:tcPr>
          <w:p>
            <w:pPr>
              <w:pStyle w:val="T4dispositie"/>
              <w:rPr>
                <w:lang w:val="nl-NL"/>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2364" w:type="dxa"/>
        <w:jc w:val="start"/>
        <w:tblInd w:w="-70" w:type="dxa"/>
        <w:tblLayout w:type="fixed"/>
        <w:tblCellMar>
          <w:top w:w="0" w:type="dxa"/>
          <w:start w:w="70" w:type="dxa"/>
          <w:bottom w:w="0" w:type="dxa"/>
          <w:end w:w="70" w:type="dxa"/>
        </w:tblCellMar>
      </w:tblPr>
      <w:tblGrid>
        <w:gridCol w:w="1635"/>
        <w:gridCol w:w="729"/>
      </w:tblGrid>
      <w:tr>
        <w:trPr/>
        <w:tc>
          <w:tcPr>
            <w:tcW w:w="1635" w:type="dxa"/>
            <w:tcBorders/>
          </w:tcPr>
          <w:p>
            <w:pPr>
              <w:pStyle w:val="T1"/>
              <w:jc w:val="start"/>
              <w:rPr>
                <w:lang w:val="nl-NL"/>
              </w:rPr>
            </w:pPr>
            <w:r>
              <w:rPr>
                <w:lang w:val="nl-NL"/>
              </w:rPr>
              <w:t>Sesquialter RP</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5328" w:type="dxa"/>
        <w:jc w:val="start"/>
        <w:tblInd w:w="-108" w:type="dxa"/>
        <w:tblLayout w:type="fixed"/>
        <w:tblCellMar>
          <w:top w:w="0" w:type="dxa"/>
          <w:start w:w="108" w:type="dxa"/>
          <w:bottom w:w="0" w:type="dxa"/>
          <w:end w:w="108" w:type="dxa"/>
        </w:tblCellMar>
      </w:tblPr>
      <w:tblGrid>
        <w:gridCol w:w="1368"/>
        <w:gridCol w:w="720"/>
        <w:gridCol w:w="720"/>
        <w:gridCol w:w="720"/>
        <w:gridCol w:w="900"/>
        <w:gridCol w:w="900"/>
      </w:tblGrid>
      <w:tr>
        <w:trPr/>
        <w:tc>
          <w:tcPr>
            <w:tcW w:w="1368" w:type="dxa"/>
            <w:tcBorders/>
          </w:tcPr>
          <w:p>
            <w:pPr>
              <w:pStyle w:val="T1"/>
              <w:jc w:val="start"/>
              <w:rPr>
                <w:lang w:val="nl-NL"/>
              </w:rPr>
            </w:pPr>
            <w:r>
              <w:rPr>
                <w:lang w:val="nl-NL"/>
              </w:rPr>
              <w:t>Scherp RP</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900" w:type="dxa"/>
            <w:tcBorders/>
          </w:tcPr>
          <w:p>
            <w:pPr>
              <w:pStyle w:val="T4dispositie"/>
              <w:rPr>
                <w:lang w:val="nl-NL"/>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900" w:type="dxa"/>
            <w:tcBorders/>
          </w:tcPr>
          <w:p>
            <w:pPr>
              <w:pStyle w:val="T4dispositie"/>
              <w:rPr>
                <w:lang w:val="nl-NL"/>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(1959)</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het orgel is gebruik gemaakt van pijpwerk uit het voormalig orgel alsmede van een windlade en enig pijpwerk uit opslag van de bouwer. Het voormalig orgel was van de hand van de Gebr. Rohlfing, geleverd in 1922, en was in 1941 door Mense Ruiter gewijzigd en vergroot. De uit opslag bij de orgelmaker afkomstige windlade is toegepast voor het RP.</w:t>
      </w:r>
    </w:p>
    <w:p>
      <w:pPr>
        <w:pStyle w:val="T1"/>
        <w:jc w:val="start"/>
        <w:rPr>
          <w:lang w:val="nl-NL"/>
        </w:rPr>
      </w:pPr>
      <w:r>
        <w:rPr>
          <w:lang w:val="nl-NL"/>
        </w:rPr>
        <w:t>De orgelkassen zijn van mahonie. De frontpijpen van HW en Ped zijn van elektrolytisch zink met ingesoldeerde labia van orgelmetaal.</w:t>
      </w:r>
    </w:p>
    <w:p>
      <w:pPr>
        <w:pStyle w:val="T1"/>
        <w:jc w:val="start"/>
        <w:rPr>
          <w:lang w:val="nl-NL"/>
        </w:rPr>
      </w:pPr>
      <w:r>
        <w:rPr>
          <w:lang w:val="nl-NL"/>
        </w:rPr>
        <w:t>De cancelvolgorde van de HW-lade volgt het front, die van de RP-lade heeft een indeling in drie groepen van zeven, met de discant in hele tonen er tussenin (7-17-7-16-7), de Ped-laden zijn ingedeeld in hele tonen, aflopend overeenkomstig het front.</w:t>
      </w:r>
    </w:p>
    <w:p>
      <w:pPr>
        <w:pStyle w:val="T1"/>
        <w:jc w:val="start"/>
        <w:rPr>
          <w:lang w:val="nl-NL"/>
        </w:rPr>
      </w:pPr>
      <w:r>
        <w:rPr>
          <w:lang w:val="nl-NL"/>
        </w:rPr>
        <w:t>De frontpijpen van het RP zijn van orgelmetaal, hierin spreken C-e¹ van de Prestant 4'</w:t>
      </w:r>
    </w:p>
    <w:p>
      <w:pPr>
        <w:pStyle w:val="T1"/>
        <w:jc w:val="start"/>
        <w:rPr/>
      </w:pPr>
      <w:r>
        <w:rPr>
          <w:lang w:val="nl-NL"/>
        </w:rPr>
        <w:t xml:space="preserve">Nieuw pijpwerk werd in 1959 geleverd voor de drie frontregisters, en voorts voor de Holpijp 8' HW, Roerfluit 8', Baarpijp 4' en Scherp RP, en de tongwerken van RP en Ped. De Viola 8' draagt de inscriptie </w:t>
      </w:r>
      <w:r>
        <w:rPr>
          <w:i/>
          <w:iCs/>
          <w:lang w:val="nl-NL"/>
        </w:rPr>
        <w:t>Salicionaal</w:t>
      </w:r>
      <w:r>
        <w:rPr>
          <w:lang w:val="nl-NL"/>
        </w:rPr>
        <w:t>, en stond in 1922 op Man II. Het groot octaaf heeft zinken pijpen. De Bourdon 16' heeft zinken pijpen in de bas, mogelijk vermaakte frontpijpen van 1922. De omwerking tot Bourdon is geschied door middel van verhoging van de opsneden.</w:t>
      </w:r>
    </w:p>
    <w:p>
      <w:pPr>
        <w:pStyle w:val="T1"/>
        <w:jc w:val="start"/>
        <w:rPr>
          <w:lang w:val="nl-NL"/>
        </w:rPr>
      </w:pPr>
      <w:r>
        <w:rPr>
          <w:lang w:val="nl-NL"/>
        </w:rPr>
        <w:t>Enkele registers van 1922 hebben pijpwerk van spotted metal, voorzien van geperste labia. (met name Octaaf 4' en Octaaf 2' HW).</w:t>
      </w:r>
    </w:p>
    <w:p>
      <w:pPr>
        <w:pStyle w:val="T1"/>
        <w:jc w:val="start"/>
        <w:rPr>
          <w:lang w:val="nl-NL"/>
        </w:rPr>
      </w:pPr>
      <w:r>
        <w:rPr>
          <w:lang w:val="nl-NL"/>
        </w:rPr>
        <w:t>De Gedektfluit 4' HW heeft conische pijpen voor het hoogste octaaf. De Prestant 8' RP is van C-H gecombineerd met de Roerfluit 8'. De Woudfluit 2' RP is conisch.</w:t>
      </w:r>
    </w:p>
    <w:p>
      <w:pPr>
        <w:pStyle w:val="T1"/>
        <w:jc w:val="start"/>
        <w:rPr>
          <w:lang w:val="nl-NL"/>
        </w:rPr>
      </w:pPr>
      <w:r>
        <w:rPr>
          <w:lang w:val="nl-NL"/>
        </w:rPr>
        <w:t>De Subbas 16' van 1922 is gehandhaafd, maar in 1959 zes halve tonen opgeschoven om een wijdere mensuur te verkrijgen.</w:t>
      </w:r>
    </w:p>
    <w:p>
      <w:pPr>
        <w:pStyle w:val="T1"/>
        <w:jc w:val="start"/>
        <w:rPr>
          <w:lang w:val="nl-NL"/>
        </w:rPr>
      </w:pPr>
      <w:r>
        <w:rPr>
          <w:lang w:val="nl-NL"/>
        </w:rPr>
        <w:t>De tongwerken van HW en RP bezitten metalen stevels en loden koppen. De Fagot 16' heeft stevels van zink. De Dulciaan heeft cilindrische bekers op een korte onderconus, bovenaan verschuifbare ringen van roodkoper. De bekers van de Trompet zijn van metaal, die van de Fagot 16' van zink.</w:t>
      </w:r>
    </w:p>
    <w:p>
      <w:pPr>
        <w:pStyle w:val="T1"/>
        <w:jc w:val="start"/>
        <w:rPr/>
      </w:pPr>
      <w:r>
        <w:rPr>
          <w:lang w:val="nl-NL"/>
        </w:rPr>
        <w:t xml:space="preserve">Het merendeel van het open pijpwerk is voorzien van stemkrullen. </w:t>
      </w:r>
      <w:r>
        <w:rPr>
          <w:lang w:val="fr-FR"/>
        </w:rPr>
        <w:t xml:space="preserve">De Viola heeft expressions. </w:t>
      </w:r>
      <w:r>
        <w:rPr>
          <w:lang w:val="nl-NL"/>
        </w:rPr>
        <w:t>Het orgel is enige tijd gestemd geweest in Werckmeister III, maar op wens van de eigenaar weer teruggestemd naar een evenredig zwevende temperatuur. De winddruk bedroeg in 1980 52 mm voor het HW, 55 mm voor het Ped en 59 mm voor het RP.</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94"/>
        </w:tabs>
        <w:ind w:start="794"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b/>
      <w:bCs/>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2010-03-23T14:33:00Z</dcterms:created>
  <dc:creator>WS1</dc:creator>
  <dc:description/>
  <dc:language>en-US</dc:language>
  <cp:lastModifiedBy>NIvO</cp:lastModifiedBy>
  <dcterms:modified xsi:type="dcterms:W3CDTF">2010-03-23T15:52:00Z</dcterms:modified>
  <cp:revision>3</cp:revision>
  <dc:subject/>
  <dc:title>Zeeland / 1895</dc:title>
</cp:coreProperties>
</file>