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Amsterdam-Watergraafsmeer / 1960</w:t>
      </w:r>
    </w:p>
    <w:p>
      <w:pPr>
        <w:pStyle w:val="Heading2"/>
        <w:rPr>
          <w:i w:val="false"/>
          <w:i w:val="false"/>
          <w:iCs/>
        </w:rPr>
      </w:pPr>
      <w:r>
        <w:rPr>
          <w:i w:val="false"/>
          <w:iCs/>
        </w:rPr>
        <w:t>Koningskerk</w:t>
      </w:r>
    </w:p>
    <w:p>
      <w:pPr>
        <w:pStyle w:val="T1"/>
        <w:jc w:val="start"/>
        <w:rPr>
          <w:i/>
          <w:i/>
          <w:iCs/>
          <w:lang w:val="nl-NL"/>
        </w:rPr>
      </w:pPr>
      <w:r>
        <w:rPr>
          <w:i/>
          <w:iCs/>
          <w:lang w:val="nl-NL"/>
        </w:rPr>
      </w:r>
    </w:p>
    <w:p>
      <w:pPr>
        <w:pStyle w:val="T1"/>
        <w:jc w:val="start"/>
        <w:rPr>
          <w:i/>
          <w:i/>
          <w:iCs/>
          <w:lang w:val="nl-NL"/>
        </w:rPr>
      </w:pPr>
      <w:r>
        <w:rPr>
          <w:i/>
          <w:iCs/>
          <w:lang w:val="nl-NL"/>
        </w:rPr>
        <w:t>Deze voor de Gereformeerden gebouwde kerk, naar een ontwerp van W. van der Kuilen en C. Trappenburg, is in 1955 in gebruik gekomen. Het is een rechthoekig hoofdgebouw met een losstaande toren. Opvallend zijn de in beton gevatte figuratieve ramen aan de zijkanten die bijbelse verhalen voorstellen. Het gebouw is sinds 1995 in gebruik door de Evangelische Broedergemeente; het interieur is toen geheel wit gemaakt.</w:t>
      </w:r>
    </w:p>
    <w:p>
      <w:pPr>
        <w:pStyle w:val="T1"/>
        <w:jc w:val="start"/>
        <w:rPr>
          <w:i/>
          <w:i/>
          <w:iCs/>
          <w:lang w:val="nl-NL"/>
        </w:rPr>
      </w:pPr>
      <w:r>
        <w:rPr>
          <w:i/>
          <w:iCs/>
          <w:lang w:val="nl-NL"/>
        </w:rPr>
      </w:r>
    </w:p>
    <w:p>
      <w:pPr>
        <w:pStyle w:val="T1"/>
        <w:jc w:val="start"/>
        <w:rPr>
          <w:lang w:val="nl-NL"/>
        </w:rPr>
      </w:pPr>
      <w:r>
        <w:rPr>
          <w:lang w:val="nl-NL"/>
        </w:rPr>
        <w:t>Kas: 1960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is door Mense Ruiter zelf ontworpen. De architect van de kerk had hierbij geen inbreng. Mense Ruiter heeft hier de klassieke werkopstelling een eigentijdse sobere maar toch opvallende invulling gegeven: hoofdwerk, daarvoor het rugpositief en links naast de hoofdkas een vrijstaande pedaalkas. De vorm van de in totaal zeven pijpvelden is identiek: een rechthoekig hoog blok met een brede voorzijde en rechts daarop aansluitend een smalle zijzijde; de grootste pijp van elk veld staat op de hoek. Ook de labiumlijnen zijn horizontaal recht. Het hoofdwerkfront heeft van links naar rechts drie van deze velden naast elkaar staan, in diepte verspringend. Het front van het rugpositief is daar een verkleinde versie van. Bij de pedaalkas is het enkele pijpveld gespiegeld en een kwartslag gedraaid, zodat de smalle zijde naar voren gericht is. Het rastervormige lofwerk aan de pijpuiteinden reminisceert aan de raamvormen van de kerk.</w:t>
      </w:r>
    </w:p>
    <w:p>
      <w:pPr>
        <w:pStyle w:val="T2Kunst"/>
        <w:jc w:val="start"/>
        <w:rPr>
          <w:lang w:val="nl-NL"/>
        </w:rPr>
      </w:pPr>
      <w:r>
        <w:rPr>
          <w:lang w:val="nl-NL"/>
        </w:rPr>
      </w:r>
    </w:p>
    <w:p>
      <w:pPr>
        <w:pStyle w:val="T3Lit"/>
        <w:jc w:val="start"/>
        <w:rPr>
          <w:i/>
          <w:i/>
          <w:iCs/>
          <w:lang w:val="nl-NL"/>
        </w:rPr>
      </w:pPr>
      <w:r>
        <w:rPr>
          <w:b/>
          <w:bCs/>
          <w:lang w:val="nl-NL"/>
        </w:rPr>
        <w:t>Literatuur</w:t>
      </w:r>
    </w:p>
    <w:p>
      <w:pPr>
        <w:pStyle w:val="T3Lit"/>
        <w:jc w:val="start"/>
        <w:rPr/>
      </w:pPr>
      <w:r>
        <w:rPr>
          <w:lang w:val="nl-NL"/>
        </w:rPr>
        <w:t xml:space="preserve">Jan Jongepier, ‘Orgels in Amsterdam’. In: Paul Peeters (red.), </w:t>
      </w:r>
      <w:r>
        <w:rPr>
          <w:i/>
          <w:iCs/>
          <w:lang w:val="nl-NL"/>
        </w:rPr>
        <w:t>Orgelcultuur op de scheidslijn van kerk en staat: het orgel in de 17</w:t>
      </w:r>
      <w:r>
        <w:rPr>
          <w:i/>
          <w:iCs/>
          <w:vertAlign w:val="superscript"/>
          <w:lang w:val="nl-NL"/>
        </w:rPr>
        <w:t>de</w:t>
      </w:r>
      <w:r>
        <w:rPr>
          <w:i/>
          <w:iCs/>
          <w:lang w:val="nl-NL"/>
        </w:rPr>
        <w:t xml:space="preserve"> en de 20de eeuw.</w:t>
      </w:r>
      <w:r>
        <w:rPr>
          <w:lang w:val="nl-NL"/>
        </w:rPr>
        <w:t xml:space="preserve"> Z.p., 1990, 139.</w:t>
      </w:r>
    </w:p>
    <w:p>
      <w:pPr>
        <w:pStyle w:val="T3Lit"/>
        <w:jc w:val="start"/>
        <w:rPr/>
      </w:pPr>
      <w:r>
        <w:rPr>
          <w:i/>
          <w:iCs/>
          <w:lang w:val="nl-NL"/>
        </w:rPr>
        <w:t>Het Orgelblad</w:t>
      </w:r>
      <w:r>
        <w:rPr>
          <w:lang w:val="nl-NL"/>
        </w:rPr>
        <w:t>, 6/11 (1964).</w:t>
      </w:r>
    </w:p>
    <w:p>
      <w:pPr>
        <w:pStyle w:val="T3Lit"/>
        <w:jc w:val="start"/>
        <w:rPr/>
      </w:pPr>
      <w:r>
        <w:rPr>
          <w:i/>
          <w:iCs/>
          <w:lang w:val="nl-NL"/>
        </w:rPr>
        <w:t>De Orgelvriend</w:t>
      </w:r>
      <w:r>
        <w:rPr>
          <w:lang w:val="nl-NL"/>
        </w:rPr>
        <w:t>, 16/3 (1974), 8.</w:t>
      </w:r>
    </w:p>
    <w:p>
      <w:pPr>
        <w:pStyle w:val="T3Lit"/>
        <w:jc w:val="start"/>
        <w:rPr/>
      </w:pPr>
      <w:r>
        <w:rPr>
          <w:lang w:val="nl-NL"/>
        </w:rPr>
        <w:t xml:space="preserve">Wim van der Poel, ‘Het orgel in de Geref. Koningskerk te Amsterdam-Oost’. </w:t>
      </w:r>
      <w:r>
        <w:rPr>
          <w:i/>
          <w:iCs/>
          <w:lang w:val="nl-NL"/>
        </w:rPr>
        <w:t>De Orgelvriend</w:t>
      </w:r>
      <w:r>
        <w:rPr>
          <w:lang w:val="nl-NL"/>
        </w:rPr>
        <w:t>, 14/1 (1972), 19.</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Mense Ruiter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1960</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registermechaniek RP gewijzigd</w:t>
      </w:r>
    </w:p>
    <w:p>
      <w:pPr>
        <w:pStyle w:val="T1"/>
        <w:jc w:val="start"/>
        <w:rPr>
          <w:lang w:val="nl-NL"/>
        </w:rPr>
      </w:pPr>
      <w:r>
        <w:rPr>
          <w:lang w:val="nl-NL"/>
        </w:rPr>
      </w:r>
    </w:p>
    <w:p>
      <w:pPr>
        <w:pStyle w:val="T1"/>
        <w:jc w:val="start"/>
        <w:rPr>
          <w:lang w:val="nl-NL"/>
        </w:rPr>
      </w:pPr>
      <w:r>
        <w:rPr>
          <w:lang w:val="nl-NL"/>
        </w:rPr>
        <w:t>1995</w:t>
      </w:r>
    </w:p>
    <w:p>
      <w:pPr>
        <w:pStyle w:val="T1"/>
        <w:numPr>
          <w:ilvl w:val="0"/>
          <w:numId w:val="2"/>
        </w:numPr>
        <w:jc w:val="start"/>
        <w:rPr>
          <w:lang w:val="nl-NL"/>
        </w:rPr>
      </w:pPr>
      <w:r>
        <w:rPr>
          <w:lang w:val="nl-NL"/>
        </w:rPr>
        <w:t>orgelkas geheel wit geschilderd in het kader van interieurwijziging</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pedaal</w:t>
      </w:r>
    </w:p>
    <w:p>
      <w:pPr>
        <w:pStyle w:val="T1"/>
        <w:jc w:val="start"/>
        <w:rPr>
          <w:lang w:val="nl-NL"/>
        </w:rPr>
      </w:pPr>
      <w:r>
        <w:rPr>
          <w:lang w:val="nl-NL"/>
        </w:rPr>
      </w:r>
    </w:p>
    <w:p>
      <w:pPr>
        <w:pStyle w:val="T1"/>
        <w:jc w:val="start"/>
        <w:rPr/>
      </w:pPr>
      <w:r>
        <w:rPr/>
        <w:t>Dispositie</w:t>
      </w:r>
    </w:p>
    <w:tbl>
      <w:tblPr>
        <w:tblW w:w="7270" w:type="dxa"/>
        <w:jc w:val="start"/>
        <w:tblInd w:w="-70" w:type="dxa"/>
        <w:tblLayout w:type="fixed"/>
        <w:tblCellMar>
          <w:top w:w="0" w:type="dxa"/>
          <w:start w:w="70" w:type="dxa"/>
          <w:bottom w:w="0" w:type="dxa"/>
          <w:end w:w="70" w:type="dxa"/>
        </w:tblCellMar>
      </w:tblPr>
      <w:tblGrid>
        <w:gridCol w:w="1690"/>
        <w:gridCol w:w="720"/>
        <w:gridCol w:w="1800"/>
        <w:gridCol w:w="720"/>
        <w:gridCol w:w="1520"/>
        <w:gridCol w:w="820"/>
      </w:tblGrid>
      <w:tr>
        <w:trPr/>
        <w:tc>
          <w:tcPr>
            <w:tcW w:w="1690" w:type="dxa"/>
            <w:tcBorders/>
          </w:tcPr>
          <w:p>
            <w:pPr>
              <w:pStyle w:val="T4dispositie"/>
              <w:jc w:val="start"/>
              <w:rPr>
                <w:lang w:val="nl-NL"/>
              </w:rPr>
            </w:pPr>
            <w:r>
              <w:rPr>
                <w:i/>
                <w:iCs/>
                <w:lang w:val="nl-NL"/>
              </w:rPr>
              <w:t>Hoofdwerk (II)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Octaaf</w:t>
            </w:r>
          </w:p>
          <w:p>
            <w:pPr>
              <w:pStyle w:val="T4dispositie"/>
              <w:jc w:val="start"/>
              <w:rPr>
                <w:lang w:val="nl-NL"/>
              </w:rPr>
            </w:pPr>
            <w:r>
              <w:rPr>
                <w:lang w:val="nl-NL"/>
              </w:rPr>
              <w:t>Speelfluit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Dulciaan</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4-5 st.*</w:t>
            </w:r>
          </w:p>
          <w:p>
            <w:pPr>
              <w:pStyle w:val="T4dispositie"/>
              <w:jc w:val="start"/>
              <w:rPr>
                <w:lang w:val="nl-NL"/>
              </w:rPr>
            </w:pPr>
            <w:r>
              <w:rPr>
                <w:lang w:val="nl-NL"/>
              </w:rPr>
              <w:t>16'</w:t>
            </w:r>
          </w:p>
          <w:p>
            <w:pPr>
              <w:pStyle w:val="T4dispositie"/>
              <w:jc w:val="start"/>
              <w:rPr>
                <w:lang w:val="nl-NL"/>
              </w:rPr>
            </w:pPr>
            <w:r>
              <w:rPr>
                <w:lang w:val="nl-NL"/>
              </w:rPr>
              <w:t>8'</w:t>
            </w:r>
          </w:p>
        </w:tc>
        <w:tc>
          <w:tcPr>
            <w:tcW w:w="1800" w:type="dxa"/>
            <w:tcBorders/>
          </w:tcPr>
          <w:p>
            <w:pPr>
              <w:pStyle w:val="T4dispositie"/>
              <w:jc w:val="start"/>
              <w:rPr>
                <w:lang w:val="nl-NL"/>
              </w:rPr>
            </w:pPr>
            <w:r>
              <w:rPr>
                <w:i/>
                <w:iCs/>
                <w:lang w:val="nl-NL"/>
              </w:rPr>
              <w:t>Rugpositief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Quintadeen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Gemshoorn</w:t>
            </w:r>
          </w:p>
          <w:p>
            <w:pPr>
              <w:pStyle w:val="T4dispositie"/>
              <w:jc w:val="start"/>
              <w:rPr>
                <w:lang w:val="nl-NL"/>
              </w:rPr>
            </w:pPr>
            <w:r>
              <w:rPr>
                <w:lang w:val="nl-NL"/>
              </w:rPr>
              <w:t>Quint</w:t>
            </w:r>
          </w:p>
          <w:p>
            <w:pPr>
              <w:pStyle w:val="T4dispositie"/>
              <w:jc w:val="start"/>
              <w:rPr>
                <w:lang w:val="nl-NL"/>
              </w:rPr>
            </w:pPr>
            <w:r>
              <w:rPr>
                <w:lang w:val="nl-NL"/>
              </w:rPr>
              <w:t>Scherp</w:t>
            </w:r>
          </w:p>
          <w:p>
            <w:pPr>
              <w:pStyle w:val="T4dispositie"/>
              <w:jc w:val="start"/>
              <w:rPr>
                <w:lang w:val="nl-NL"/>
              </w:rPr>
            </w:pPr>
            <w:r>
              <w:rPr>
                <w:lang w:val="nl-NL"/>
              </w:rPr>
              <w:t>Sesquialter D</w:t>
            </w:r>
          </w:p>
          <w:p>
            <w:pPr>
              <w:pStyle w:val="T4dispositie"/>
              <w:jc w:val="start"/>
              <w:rPr>
                <w:lang w:val="nl-NL"/>
              </w:rPr>
            </w:pPr>
            <w:r>
              <w:rPr>
                <w:lang w:val="nl-NL"/>
              </w:rPr>
              <w:t>Kromhoorn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4 st.</w:t>
            </w:r>
          </w:p>
          <w:p>
            <w:pPr>
              <w:pStyle w:val="T4dispositie"/>
              <w:jc w:val="start"/>
              <w:rPr>
                <w:lang w:val="nl-NL"/>
              </w:rPr>
            </w:pPr>
            <w:r>
              <w:rPr>
                <w:lang w:val="nl-NL"/>
              </w:rPr>
              <w:t>2 st.</w:t>
            </w:r>
          </w:p>
          <w:p>
            <w:pPr>
              <w:pStyle w:val="T4dispositie"/>
              <w:jc w:val="start"/>
              <w:rPr>
                <w:lang w:val="nl-NL"/>
              </w:rPr>
            </w:pPr>
            <w:r>
              <w:rPr>
                <w:lang w:val="nl-NL"/>
              </w:rPr>
              <w:t>8'</w:t>
            </w:r>
          </w:p>
        </w:tc>
        <w:tc>
          <w:tcPr>
            <w:tcW w:w="1520" w:type="dxa"/>
            <w:tcBorders/>
          </w:tcPr>
          <w:p>
            <w:pPr>
              <w:pStyle w:val="T4dispositie"/>
              <w:jc w:val="start"/>
              <w:rPr>
                <w:i/>
                <w:i/>
                <w:iCs/>
                <w:lang w:val="nl-NL"/>
              </w:rPr>
            </w:pPr>
            <w:r>
              <w:rPr>
                <w:i/>
                <w:iCs/>
                <w:lang w:val="nl-NL"/>
              </w:rPr>
              <w:t>Pedaal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Bazuin</w:t>
            </w:r>
          </w:p>
          <w:p>
            <w:pPr>
              <w:pStyle w:val="T4dispositie"/>
              <w:jc w:val="start"/>
              <w:rPr>
                <w:lang w:val="nl-NL"/>
              </w:rPr>
            </w:pPr>
            <w:r>
              <w:rPr>
                <w:lang w:val="nl-NL"/>
              </w:rPr>
              <w:t>Cornet</w:t>
            </w:r>
          </w:p>
        </w:tc>
        <w:tc>
          <w:tcPr>
            <w:tcW w:w="8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5 st.</w:t>
            </w:r>
          </w:p>
          <w:p>
            <w:pPr>
              <w:pStyle w:val="T4dispositie"/>
              <w:jc w:val="start"/>
              <w:rPr>
                <w:lang w:val="nl-NL"/>
              </w:rPr>
            </w:pPr>
            <w:r>
              <w:rPr>
                <w:lang w:val="nl-NL"/>
              </w:rPr>
              <w:t>16'</w:t>
            </w:r>
          </w:p>
          <w:p>
            <w:pPr>
              <w:pStyle w:val="T4dispositie"/>
              <w:jc w:val="start"/>
              <w:rPr>
                <w:lang w:val="nl-NL"/>
              </w:rPr>
            </w:pPr>
            <w:r>
              <w:rPr>
                <w:lang w:val="nl-NL"/>
              </w:rPr>
              <w:t>4'</w:t>
            </w:r>
          </w:p>
        </w:tc>
      </w:tr>
    </w:tbl>
    <w:p>
      <w:pPr>
        <w:pStyle w:val="T4dispositie"/>
        <w:rPr>
          <w:lang w:val="nl-NL"/>
        </w:rPr>
      </w:pPr>
      <w:r>
        <w:rPr>
          <w:lang w:val="nl-NL"/>
        </w:rPr>
      </w:r>
    </w:p>
    <w:p>
      <w:pPr>
        <w:pStyle w:val="T4dispositie"/>
        <w:rPr>
          <w:lang w:val="nl-NL"/>
        </w:rPr>
      </w:pPr>
      <w:r>
        <w:rPr>
          <w:lang w:val="nl-NL"/>
        </w:rPr>
        <w:t>*in werkelijkheid 3-5 st.</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HW-RP, Ped-HW, Ped-RP</w:t>
      </w:r>
    </w:p>
    <w:p>
      <w:pPr>
        <w:pStyle w:val="T1"/>
        <w:jc w:val="start"/>
        <w:rPr>
          <w:lang w:val="nl-NL"/>
        </w:rPr>
      </w:pPr>
      <w:r>
        <w:rPr>
          <w:lang w:val="nl-NL"/>
        </w:rPr>
        <w:t>tremulant RP (buiten werking)</w:t>
      </w:r>
    </w:p>
    <w:p>
      <w:pPr>
        <w:pStyle w:val="T1"/>
        <w:jc w:val="start"/>
        <w:rPr>
          <w:lang w:val="nl-NL"/>
        </w:rPr>
      </w:pPr>
      <w:r>
        <w:rPr>
          <w:lang w:val="nl-NL"/>
        </w:rPr>
      </w:r>
    </w:p>
    <w:p>
      <w:pPr>
        <w:pStyle w:val="T1"/>
        <w:jc w:val="start"/>
        <w:rPr>
          <w:lang w:val="nl-NL"/>
        </w:rPr>
      </w:pPr>
      <w:r>
        <w:rPr>
          <w:lang w:val="nl-NL"/>
        </w:rPr>
        <w:t>Samenstelling vulstemmen</w:t>
      </w:r>
    </w:p>
    <w:tbl>
      <w:tblPr>
        <w:tblW w:w="4570" w:type="dxa"/>
        <w:jc w:val="start"/>
        <w:tblInd w:w="-70" w:type="dxa"/>
        <w:tblLayout w:type="fixed"/>
        <w:tblCellMar>
          <w:top w:w="0" w:type="dxa"/>
          <w:start w:w="70" w:type="dxa"/>
          <w:bottom w:w="0" w:type="dxa"/>
          <w:end w:w="70" w:type="dxa"/>
        </w:tblCellMar>
      </w:tblPr>
      <w:tblGrid>
        <w:gridCol w:w="1510"/>
        <w:gridCol w:w="720"/>
        <w:gridCol w:w="900"/>
        <w:gridCol w:w="540"/>
        <w:gridCol w:w="900"/>
      </w:tblGrid>
      <w:tr>
        <w:trPr/>
        <w:tc>
          <w:tcPr>
            <w:tcW w:w="1510" w:type="dxa"/>
            <w:tcBorders/>
          </w:tcPr>
          <w:p>
            <w:pPr>
              <w:pStyle w:val="T1"/>
              <w:rPr>
                <w:lang w:val="nl-NL"/>
              </w:rPr>
            </w:pPr>
            <w:r>
              <w:rPr>
                <w:lang w:val="nl-NL"/>
              </w:rPr>
              <w:t>Mixtuur HW</w:t>
            </w:r>
          </w:p>
        </w:tc>
        <w:tc>
          <w:tcPr>
            <w:tcW w:w="72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900" w:type="dxa"/>
            <w:tcBorders/>
          </w:tcPr>
          <w:p>
            <w:pPr>
              <w:pStyle w:val="T4dispositie"/>
              <w:rPr>
                <w:lang w:val="nl-NL"/>
              </w:rPr>
            </w:pPr>
            <w:r>
              <w:rPr>
                <w:lang w:val="nl-NL"/>
              </w:rPr>
              <w:t>B</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540" w:type="dxa"/>
            <w:tcBorders/>
          </w:tcPr>
          <w:p>
            <w:pPr>
              <w:pStyle w:val="T4dispositie"/>
              <w:rPr>
                <w:lang w:val="nl-NL"/>
              </w:rPr>
            </w:pPr>
            <w:r>
              <w:rPr>
                <w:lang w:val="nl-NL"/>
              </w:rPr>
              <w:t>gis</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900" w:type="dxa"/>
            <w:tcBorders/>
          </w:tcPr>
          <w:p>
            <w:pPr>
              <w:pStyle w:val="T4dispositie"/>
              <w:rPr/>
            </w:pPr>
            <w:r>
              <w:rPr>
                <w:lang w:val="nl-NL"/>
              </w:rPr>
              <w:t>Fis</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4053" w:type="dxa"/>
        <w:jc w:val="start"/>
        <w:tblInd w:w="-70" w:type="dxa"/>
        <w:tblLayout w:type="fixed"/>
        <w:tblCellMar>
          <w:top w:w="0" w:type="dxa"/>
          <w:start w:w="70" w:type="dxa"/>
          <w:bottom w:w="0" w:type="dxa"/>
          <w:end w:w="70" w:type="dxa"/>
        </w:tblCellMar>
      </w:tblPr>
      <w:tblGrid>
        <w:gridCol w:w="1344"/>
        <w:gridCol w:w="555"/>
        <w:gridCol w:w="718"/>
        <w:gridCol w:w="718"/>
        <w:gridCol w:w="718"/>
      </w:tblGrid>
      <w:tr>
        <w:trPr/>
        <w:tc>
          <w:tcPr>
            <w:tcW w:w="1344" w:type="dxa"/>
            <w:tcBorders/>
          </w:tcPr>
          <w:p>
            <w:pPr>
              <w:pStyle w:val="T1"/>
              <w:jc w:val="start"/>
              <w:rPr>
                <w:lang w:val="nl-NL"/>
              </w:rPr>
            </w:pPr>
            <w:r>
              <w:rPr>
                <w:lang w:val="nl-NL"/>
              </w:rPr>
              <w:t>Scherp RP</w:t>
            </w:r>
          </w:p>
        </w:tc>
        <w:tc>
          <w:tcPr>
            <w:tcW w:w="555" w:type="dxa"/>
            <w:tcBorders/>
          </w:tcPr>
          <w:p>
            <w:pPr>
              <w:pStyle w:val="T4dispositie"/>
              <w:rPr/>
            </w:pPr>
            <w:r>
              <w:rPr/>
              <w:t>C</w:t>
            </w:r>
          </w:p>
          <w:p>
            <w:pPr>
              <w:pStyle w:val="T4dispositie"/>
              <w:rPr/>
            </w:pPr>
            <w:r>
              <w:rPr/>
              <w:t>1</w:t>
            </w:r>
          </w:p>
          <w:p>
            <w:pPr>
              <w:pStyle w:val="T4dispositie"/>
              <w:rPr/>
            </w:pPr>
            <w:r>
              <w:rPr/>
              <w:t>2/3</w:t>
            </w:r>
          </w:p>
          <w:p>
            <w:pPr>
              <w:pStyle w:val="T4dispositie"/>
              <w:rPr/>
            </w:pPr>
            <w:r>
              <w:rPr/>
              <w:t>1/2</w:t>
            </w:r>
          </w:p>
          <w:p>
            <w:pPr>
              <w:pStyle w:val="T4dispositie"/>
              <w:rPr/>
            </w:pPr>
            <w:r>
              <w:rPr/>
              <w:t>1/3</w:t>
            </w:r>
          </w:p>
        </w:tc>
        <w:tc>
          <w:tcPr>
            <w:tcW w:w="718" w:type="dxa"/>
            <w:tcBorders/>
          </w:tcPr>
          <w:p>
            <w:pPr>
              <w:pStyle w:val="T4dispositie"/>
              <w:rPr/>
            </w:pPr>
            <w:r>
              <w:rPr/>
              <w:t>c</w:t>
            </w:r>
            <w:r>
              <w:rPr>
                <w:vertAlign w:val="superscript"/>
              </w:rPr>
              <w:t>1</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718" w:type="dxa"/>
            <w:tcBorders/>
          </w:tcPr>
          <w:p>
            <w:pPr>
              <w:pStyle w:val="T4dispositie"/>
              <w:rPr/>
            </w:pPr>
            <w:r>
              <w:rPr/>
              <w:t>b</w:t>
            </w:r>
            <w:r>
              <w:rPr>
                <w:vertAlign w:val="superscript"/>
              </w:rPr>
              <w:t>1</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gis</w:t>
            </w:r>
            <w:r>
              <w:rPr>
                <w:vertAlign w:val="superscript"/>
              </w:rPr>
              <w:t>2</w:t>
            </w:r>
          </w:p>
          <w:p>
            <w:pPr>
              <w:pStyle w:val="T4dispositie"/>
              <w:rPr/>
            </w:pPr>
            <w:r>
              <w:rPr/>
              <w:t>2 2/3</w:t>
            </w:r>
          </w:p>
          <w:p>
            <w:pPr>
              <w:pStyle w:val="T4dispositie"/>
              <w:rPr/>
            </w:pPr>
            <w:r>
              <w:rPr/>
              <w:t>2</w:t>
            </w:r>
          </w:p>
          <w:p>
            <w:pPr>
              <w:pStyle w:val="T4dispositie"/>
              <w:rPr/>
            </w:pPr>
            <w:r>
              <w:rPr/>
              <w:t>1 1/3</w:t>
            </w:r>
          </w:p>
          <w:p>
            <w:pPr>
              <w:pStyle w:val="T4dispositie"/>
              <w:rPr/>
            </w:pPr>
            <w:r>
              <w:rPr/>
              <w:t>1</w:t>
            </w:r>
          </w:p>
        </w:tc>
      </w:tr>
    </w:tbl>
    <w:p>
      <w:pPr>
        <w:pStyle w:val="T1"/>
        <w:jc w:val="start"/>
        <w:rPr>
          <w:lang w:val="nl-NL"/>
        </w:rPr>
      </w:pPr>
      <w:r>
        <w:rPr>
          <w:lang w:val="nl-NL"/>
        </w:rPr>
      </w:r>
    </w:p>
    <w:p>
      <w:pPr>
        <w:pStyle w:val="T1"/>
        <w:jc w:val="start"/>
        <w:rPr/>
      </w:pPr>
      <w:r>
        <w:rPr>
          <w:lang w:val="nl-NL"/>
        </w:rPr>
        <w:t xml:space="preserve">Sesqualter RP       </w:t>
      </w:r>
      <w:r>
        <w:rPr>
          <w:sz w:val="20"/>
        </w:rPr>
        <w:t>b   2 2/3 - 1 3/5</w:t>
      </w:r>
    </w:p>
    <w:p>
      <w:pPr>
        <w:pStyle w:val="T1"/>
        <w:jc w:val="start"/>
        <w:rPr>
          <w:sz w:val="20"/>
        </w:rPr>
      </w:pPr>
      <w:r>
        <w:rPr>
          <w:sz w:val="20"/>
        </w:rPr>
      </w:r>
    </w:p>
    <w:tbl>
      <w:tblPr>
        <w:tblW w:w="2149" w:type="dxa"/>
        <w:jc w:val="start"/>
        <w:tblInd w:w="-70" w:type="dxa"/>
        <w:tblLayout w:type="fixed"/>
        <w:tblCellMar>
          <w:top w:w="0" w:type="dxa"/>
          <w:start w:w="70" w:type="dxa"/>
          <w:bottom w:w="0" w:type="dxa"/>
          <w:end w:w="70" w:type="dxa"/>
        </w:tblCellMar>
      </w:tblPr>
      <w:tblGrid>
        <w:gridCol w:w="1431"/>
        <w:gridCol w:w="718"/>
      </w:tblGrid>
      <w:tr>
        <w:trPr/>
        <w:tc>
          <w:tcPr>
            <w:tcW w:w="1431" w:type="dxa"/>
            <w:tcBorders/>
          </w:tcPr>
          <w:p>
            <w:pPr>
              <w:pStyle w:val="T1"/>
              <w:jc w:val="start"/>
              <w:rPr>
                <w:lang w:val="nl-NL"/>
              </w:rPr>
            </w:pPr>
            <w:r>
              <w:rPr>
                <w:lang w:val="nl-NL"/>
              </w:rPr>
              <w:t>Mixtuur Ped</w:t>
            </w:r>
          </w:p>
        </w:tc>
        <w:tc>
          <w:tcPr>
            <w:tcW w:w="718"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p>
            <w:pPr>
              <w:pStyle w:val="T4dispositie"/>
              <w:rPr/>
            </w:pPr>
            <w:r>
              <w:rPr/>
              <w:t>1</w:t>
            </w:r>
          </w:p>
          <w:p>
            <w:pPr>
              <w:pStyle w:val="T4dispositie"/>
              <w:rPr/>
            </w:pPr>
            <w:r>
              <w:rPr/>
              <w:t>2/3</w:t>
            </w:r>
          </w:p>
        </w:tc>
      </w:tr>
    </w:tbl>
    <w:p>
      <w:pPr>
        <w:pStyle w:val="T1"/>
        <w:jc w:val="start"/>
        <w:rPr>
          <w:lang w:val="nl-NL"/>
        </w:rPr>
      </w:pPr>
      <w:r>
        <w:rPr>
          <w:lang w:val="nl-NL"/>
        </w:rPr>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beweegbare ladebodems</w:t>
      </w:r>
    </w:p>
    <w:p>
      <w:pPr>
        <w:pStyle w:val="T1"/>
        <w:jc w:val="start"/>
        <w:rPr>
          <w:lang w:val="nl-NL"/>
        </w:rPr>
      </w:pPr>
      <w:r>
        <w:rPr>
          <w:lang w:val="nl-NL"/>
        </w:rPr>
        <w:t>Winddruk</w:t>
      </w:r>
    </w:p>
    <w:p>
      <w:pPr>
        <w:pStyle w:val="T1"/>
        <w:jc w:val="start"/>
        <w:rPr/>
      </w:pPr>
      <w:r>
        <w:rPr/>
        <w:t>HW 71 mm, RP 75 mm, Ped 72 mm</w:t>
      </w:r>
    </w:p>
    <w:p>
      <w:pPr>
        <w:pStyle w:val="T1"/>
        <w:jc w:val="start"/>
        <w:rPr/>
      </w:pPr>
      <w:r>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het front van de hoofdwerkkas staan C-g van de Prestant 8' en C-f van de Salicionaal 8'. In het rugwerkfront staan C-H van de Prestant 4'.</w:t>
      </w:r>
    </w:p>
    <w:p>
      <w:pPr>
        <w:pStyle w:val="T1"/>
        <w:jc w:val="start"/>
        <w:rPr>
          <w:lang w:val="nl-NL"/>
        </w:rPr>
      </w:pPr>
      <w:r>
        <w:rPr>
          <w:lang w:val="nl-NL"/>
        </w:rPr>
        <w:t>De onderkas met de klaviatuur en de laden van HW en RW staan onder een hoek van ongeveer 20° naar links gedraaid ten opzichte van de kassen zelf. De schakelaars voor het licht en de motor zijn ook als registerknop uitgevoerd.</w:t>
      </w:r>
    </w:p>
    <w:p>
      <w:pPr>
        <w:pStyle w:val="T1"/>
        <w:jc w:val="start"/>
        <w:rPr/>
      </w:pPr>
      <w:r>
        <w:rPr>
          <w:lang w:val="nl-NL"/>
        </w:rPr>
        <w:t>Het HW en RP hebben mechanische sleepladen, die zijn verdeeld in C- en Ciskant. Van het HW is de Fagot 16' half gedekt. Van het RP zijn C-H van de Bourdon 8' van de lade afgevoerd; gis</w:t>
      </w:r>
      <w:r>
        <w:rPr>
          <w:vertAlign w:val="superscript"/>
          <w:lang w:val="nl-NL"/>
        </w:rPr>
        <w:t>2</w:t>
      </w:r>
      <w:r>
        <w:rPr>
          <w:lang w:val="nl-NL"/>
        </w:rPr>
        <w:t>-g</w:t>
      </w:r>
      <w:r>
        <w:rPr>
          <w:vertAlign w:val="superscript"/>
          <w:lang w:val="nl-NL"/>
        </w:rPr>
        <w:t>3</w:t>
      </w:r>
      <w:r>
        <w:rPr>
          <w:lang w:val="nl-NL"/>
        </w:rPr>
        <w:t xml:space="preserve"> van de Roerfluit 4' zijn conisch.</w:t>
      </w:r>
    </w:p>
    <w:p>
      <w:pPr>
        <w:pStyle w:val="T1"/>
        <w:jc w:val="start"/>
        <w:rPr/>
      </w:pPr>
      <w:r>
        <w:rPr>
          <w:lang w:val="nl-NL"/>
        </w:rPr>
        <w:t>In het Ped zijn de Prestant 16' en de Prestant 8' als ook de Bourdon 16' en de Bourdon 8' op een aparte wijze uitgevoerd. De Prestant 16' staat van C-Gis binnen, hout, open. A-dis</w:t>
      </w:r>
      <w:r>
        <w:rPr>
          <w:vertAlign w:val="superscript"/>
          <w:lang w:val="nl-NL"/>
        </w:rPr>
        <w:t>1</w:t>
      </w:r>
      <w:r>
        <w:rPr>
          <w:lang w:val="nl-NL"/>
        </w:rPr>
        <w:t xml:space="preserve"> staan in het front, metaal en e</w:t>
      </w:r>
      <w:r>
        <w:rPr>
          <w:vertAlign w:val="superscript"/>
          <w:lang w:val="nl-NL"/>
        </w:rPr>
        <w:t>1</w:t>
      </w:r>
      <w:r>
        <w:rPr>
          <w:lang w:val="nl-NL"/>
        </w:rPr>
        <w:t xml:space="preserve"> en f</w:t>
      </w:r>
      <w:r>
        <w:rPr>
          <w:vertAlign w:val="superscript"/>
          <w:lang w:val="nl-NL"/>
        </w:rPr>
        <w:t>1</w:t>
      </w:r>
      <w:r>
        <w:rPr>
          <w:lang w:val="nl-NL"/>
        </w:rPr>
        <w:t xml:space="preserve"> staan weer binnen op een aparte lade, ook metaal. De Prestant 8' is van C-f gecombineerd met de Prestant 16'; voor fis-f</w:t>
      </w:r>
      <w:r>
        <w:rPr>
          <w:vertAlign w:val="superscript"/>
          <w:lang w:val="nl-NL"/>
        </w:rPr>
        <w:t>1</w:t>
      </w:r>
      <w:r>
        <w:rPr>
          <w:lang w:val="nl-NL"/>
        </w:rPr>
        <w:t xml:space="preserve"> heeft dit register eigen pijpen die ook op de genoemde aparte lade staan. De Bourdon 16' staat van C-h, hout, gedekt, op een eigen lade'. c</w:t>
      </w:r>
      <w:r>
        <w:rPr>
          <w:vertAlign w:val="superscript"/>
          <w:lang w:val="nl-NL"/>
        </w:rPr>
        <w:t>1</w:t>
      </w:r>
      <w:r>
        <w:rPr>
          <w:lang w:val="nl-NL"/>
        </w:rPr>
        <w:t>-f</w:t>
      </w:r>
      <w:r>
        <w:rPr>
          <w:vertAlign w:val="superscript"/>
          <w:lang w:val="nl-NL"/>
        </w:rPr>
        <w:t xml:space="preserve">1, </w:t>
      </w:r>
      <w:r>
        <w:rPr>
          <w:lang w:val="nl-NL"/>
        </w:rPr>
        <w:t>gedekt,</w:t>
      </w:r>
      <w:r>
        <w:rPr>
          <w:vertAlign w:val="superscript"/>
          <w:lang w:val="nl-NL"/>
        </w:rPr>
        <w:t xml:space="preserve"> </w:t>
      </w:r>
      <w:r>
        <w:rPr>
          <w:lang w:val="nl-NL"/>
        </w:rPr>
        <w:t>metaal, staan op eenzelfde aparte lade als bij de Prestant. De Bourdon 8' is van C-f gecombineerd met de Bourdon 16'; voor fis-f</w:t>
      </w:r>
      <w:r>
        <w:rPr>
          <w:vertAlign w:val="superscript"/>
          <w:lang w:val="nl-NL"/>
        </w:rPr>
        <w:t>1</w:t>
      </w:r>
      <w:r>
        <w:rPr>
          <w:lang w:val="nl-NL"/>
        </w:rPr>
        <w:t xml:space="preserve"> heeft dit register eigen pijpen, gedekt, metaal, op dezelfde aparte lade. De registerbediening van deze vier registers is elektrisch, evenals de laden. De andere pedaalregisters staan op een mechanische sleeplade.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2010-03-23T14:44:00Z</dcterms:created>
  <dc:creator>WS1</dc:creator>
  <dc:description/>
  <dc:language>en-US</dc:language>
  <cp:lastModifiedBy>NIvO</cp:lastModifiedBy>
  <dcterms:modified xsi:type="dcterms:W3CDTF">2010-03-23T21:10:00Z</dcterms:modified>
  <cp:revision>3</cp:revision>
  <dc:subject/>
  <dc:title>Zeeland / 1895</dc:title>
</cp:coreProperties>
</file>