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 Tonge / 1962</w:t>
      </w:r>
    </w:p>
    <w:p>
      <w:pPr>
        <w:pStyle w:val="Heading2"/>
        <w:rPr>
          <w:i w:val="false"/>
          <w:i w:val="false"/>
          <w:iCs/>
        </w:rPr>
      </w:pPr>
      <w:r>
        <w:rPr>
          <w:i w:val="false"/>
          <w:iCs/>
        </w:rPr>
        <w:t>R.K. Kerk Onze Lieve Vrouwe Hemelvaart</w:t>
      </w:r>
    </w:p>
    <w:p>
      <w:pPr>
        <w:pStyle w:val="T1"/>
        <w:jc w:val="start"/>
        <w:rPr>
          <w:i/>
          <w:i/>
          <w:iCs/>
          <w:lang w:val="nl-NL"/>
        </w:rPr>
      </w:pPr>
      <w:r>
        <w:rPr>
          <w:i/>
          <w:iCs/>
          <w:lang w:val="nl-NL"/>
        </w:rPr>
      </w:r>
    </w:p>
    <w:p>
      <w:pPr>
        <w:pStyle w:val="T1"/>
        <w:jc w:val="start"/>
        <w:rPr>
          <w:i/>
          <w:i/>
          <w:iCs/>
          <w:lang w:val="nl-NL"/>
        </w:rPr>
      </w:pPr>
      <w:r>
        <w:rPr>
          <w:i/>
          <w:iCs/>
          <w:lang w:val="nl-NL"/>
        </w:rPr>
        <w:t>Driebeukige pseudo-basilicale kruiskerk met rechtgesloten koor en dakruiter, gebouwd in 1896-‘97 naar plannen van J.Th.J. Cuypers ter vervanging van een schuilkerk uit 1759, waaruit nog enkele houten beelden afkomstig zijn. Gepolychromeerd hoofdaltaar en zijaltaren uit het atelier Cuypers. Glas-in-loodvensters van H. Asperslagh (1927), kruiswegstaties van K. Rovers (1927). Bronzen preekstoel, communiebanken en marmeren altaartafel uit 1934.</w:t>
      </w:r>
    </w:p>
    <w:p>
      <w:pPr>
        <w:pStyle w:val="T1"/>
        <w:jc w:val="start"/>
        <w:rPr>
          <w:i/>
          <w:i/>
          <w:iCs/>
          <w:lang w:val="nl-NL"/>
        </w:rPr>
      </w:pPr>
      <w:r>
        <w:rPr>
          <w:i/>
          <w:iCs/>
          <w:lang w:val="nl-NL"/>
        </w:rPr>
      </w:r>
    </w:p>
    <w:p>
      <w:pPr>
        <w:pStyle w:val="T1"/>
        <w:jc w:val="start"/>
        <w:rPr>
          <w:lang w:val="nl-NL"/>
        </w:rPr>
      </w:pPr>
      <w:r>
        <w:rPr>
          <w:lang w:val="nl-NL"/>
        </w:rPr>
        <w:t>Kas: 1962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frontontwerp van dit na de watersnood van 1953 met steun van het Rampenfonds tot stand gekomen instrument lijkt te zijn georiënteerd op dat van het Marcussen-orgel (1956) van de Nicolaïkerk te Utrecht. Vooral de 16-voets pedaaltorens met hier elk een vijftal roodkoperen pijpen verwijzen met hun diagonaal verlopende basement- en labiumlijn en kapafschuining direct naar dit voorbeeld, evenals het klokvormige model van de kap van het middenveld van hoofdwerk en rugpositief. Evenals in Utrecht is het front ontworpen in samenhang met de achterliggende westgevel van het kerkgebouw. De positie van de pedaaltorens lijkt te zijn bepaald vanuit de afstand tussen de spitsboogvensters aan weerszijden van het orgel en het centrale ronde venster erboven. Hoogte- en breedteverhoudingen van het hoofdwerk zijn duidelijk gerelateerd aan de drie zich daarachter bevindende aaneengeschakelde dichtgezette spitsboogvensters. De zevenledige middenpartij van het Utrechtse orgel is hier gereduceerd tot een vijfledige. De volgorde van de roodkoperen chamadebekers beantwoordt consequent de hoofdwerkfront- en lade-indeling. Het schotwerk aan weerszijden van het hoofdwerk suggereert qua contourwerking een vrije opstelling van de ten opzichte van het hoofdwerk ook een fractie naar voren geplaatste pedaaltorens, welke binnen het orgelmeubel echter niet consequent door middel van dubbele tussenwanden wordt voortgezet. Het vijfledige front van het rugpositief volgt architectonisch slechts in grote lijnen dat van het hoofdwerk. Het middenveld is hier loos, in verband waarmee aan elk van de tussenvelden een tweetal sprekende pijpen extra is toebedeeld. In samenhang met de opstelling van middenveld en tussenvelden op verhoogde stok kon de afdekking boven tussen- en buitenvelden van het rugpositief diagonaal worden doorgetrokken. De afwerking van het orgelmeubel is uiterst sober: rasterwerk, decoratie en dieptewerking door verspringend lijstwerk ontbreken volledig, dit in contrast met het oudere orgelbalkon met briefpanelen in neogotische trant. Wel lijkt in Oude Tonge het op- en aflopende labiumverloop ten gevolge van variabele pijpvoetlengten naar de contourwerking van de Utrechtse frontpijpdecoraties te verwijzen.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H. Dogge, </w:t>
      </w:r>
      <w:r>
        <w:rPr>
          <w:bCs/>
          <w:i/>
          <w:iCs/>
          <w:lang w:val="nl-NL"/>
        </w:rPr>
        <w:t>Het Seifert-orgel in de R.K. Kerk Onze-Lieve-Vrouwe Hemelvaart te Oude Tonge.</w:t>
      </w:r>
      <w:r>
        <w:rPr>
          <w:bCs/>
          <w:lang w:val="nl-NL"/>
        </w:rPr>
        <w:t xml:space="preserve"> Oude Tonge, 1997.</w:t>
      </w:r>
    </w:p>
    <w:p>
      <w:pPr>
        <w:pStyle w:val="T3Lit"/>
        <w:jc w:val="start"/>
        <w:rPr/>
      </w:pPr>
      <w:r>
        <w:rPr>
          <w:bCs/>
          <w:i/>
          <w:iCs/>
          <w:lang w:val="nl-NL"/>
        </w:rPr>
        <w:t xml:space="preserve">Het Orgel </w:t>
      </w:r>
      <w:r>
        <w:rPr>
          <w:bCs/>
          <w:lang w:val="nl-NL"/>
        </w:rPr>
        <w:t>59/4 (1963), 69,73.</w:t>
      </w:r>
    </w:p>
    <w:p>
      <w:pPr>
        <w:pStyle w:val="T3Lit"/>
        <w:jc w:val="start"/>
        <w:rPr>
          <w:bCs/>
          <w:lang w:val="nl-NL"/>
        </w:rPr>
      </w:pPr>
      <w:r>
        <w:rPr>
          <w:bCs/>
          <w:lang w:val="nl-NL"/>
        </w:rPr>
      </w:r>
    </w:p>
    <w:p>
      <w:pPr>
        <w:pStyle w:val="T3Lit"/>
        <w:jc w:val="start"/>
        <w:rPr>
          <w:bCs/>
          <w:lang w:val="nl-NL"/>
        </w:rPr>
      </w:pPr>
      <w:r>
        <w:rPr>
          <w:b/>
          <w:lang w:val="nl-NL"/>
        </w:rPr>
        <w:t>Niet gepubliceerde bron</w:t>
      </w:r>
    </w:p>
    <w:p>
      <w:pPr>
        <w:pStyle w:val="T3Lit"/>
        <w:jc w:val="start"/>
        <w:rPr>
          <w:bCs/>
          <w:lang w:val="nl-NL"/>
        </w:rPr>
      </w:pPr>
      <w:r>
        <w:rPr>
          <w:bCs/>
          <w:lang w:val="nl-NL"/>
        </w:rPr>
        <w:t>Archief Orgelcommissie Hervormde Kerk.</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R. Seifert &amp; Sohn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82" w:type="dxa"/>
        <w:jc w:val="start"/>
        <w:tblInd w:w="-70" w:type="dxa"/>
        <w:tblLayout w:type="fixed"/>
        <w:tblCellMar>
          <w:top w:w="0" w:type="dxa"/>
          <w:start w:w="70" w:type="dxa"/>
          <w:bottom w:w="0" w:type="dxa"/>
          <w:end w:w="70" w:type="dxa"/>
        </w:tblCellMar>
      </w:tblPr>
      <w:tblGrid>
        <w:gridCol w:w="1510"/>
        <w:gridCol w:w="900"/>
        <w:gridCol w:w="1620"/>
        <w:gridCol w:w="811"/>
        <w:gridCol w:w="1349"/>
        <w:gridCol w:w="692"/>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8 stemmen</w:t>
            </w:r>
          </w:p>
          <w:p>
            <w:pPr>
              <w:pStyle w:val="T4dispositie"/>
              <w:rPr>
                <w:lang w:val="nl-NL"/>
              </w:rPr>
            </w:pPr>
            <w:r>
              <w:rPr>
                <w:lang w:val="nl-NL"/>
              </w:rPr>
            </w:r>
          </w:p>
          <w:p>
            <w:pPr>
              <w:pStyle w:val="T4dispositie"/>
              <w:rPr/>
            </w:pPr>
            <w:r>
              <w:rPr/>
              <w:t>Principal</w:t>
            </w:r>
          </w:p>
          <w:p>
            <w:pPr>
              <w:pStyle w:val="T4dispositie"/>
              <w:rPr/>
            </w:pPr>
            <w:r>
              <w:rPr/>
              <w:t>Gemshorn</w:t>
            </w:r>
          </w:p>
          <w:p>
            <w:pPr>
              <w:pStyle w:val="T4dispositie"/>
              <w:rPr/>
            </w:pPr>
            <w:r>
              <w:rPr/>
              <w:t>Rohrflöte</w:t>
            </w:r>
          </w:p>
          <w:p>
            <w:pPr>
              <w:pStyle w:val="T4dispositie"/>
              <w:rPr/>
            </w:pPr>
            <w:r>
              <w:rPr/>
              <w:t>Oktave</w:t>
            </w:r>
          </w:p>
          <w:p>
            <w:pPr>
              <w:pStyle w:val="T4dispositie"/>
              <w:rPr>
                <w:lang w:val="nl-NL"/>
              </w:rPr>
            </w:pPr>
            <w:r>
              <w:rPr>
                <w:lang w:val="nl-NL"/>
              </w:rPr>
              <w:t>Spitzflöte</w:t>
            </w:r>
          </w:p>
          <w:p>
            <w:pPr>
              <w:pStyle w:val="T4dispositie"/>
              <w:rPr>
                <w:lang w:val="nl-NL"/>
              </w:rPr>
            </w:pPr>
            <w:r>
              <w:rPr>
                <w:lang w:val="nl-NL"/>
              </w:rPr>
              <w:t>Oktave</w:t>
            </w:r>
          </w:p>
          <w:p>
            <w:pPr>
              <w:pStyle w:val="T4dispositie"/>
              <w:rPr>
                <w:lang w:val="nl-NL"/>
              </w:rPr>
            </w:pPr>
            <w:r>
              <w:rPr>
                <w:lang w:val="nl-NL"/>
              </w:rPr>
              <w:t>Mixtur</w:t>
            </w:r>
          </w:p>
          <w:p>
            <w:pPr>
              <w:pStyle w:val="T4dispositie"/>
              <w:rPr>
                <w:lang w:val="nl-NL"/>
              </w:rPr>
            </w:pPr>
            <w:r>
              <w:rPr>
                <w:lang w:val="nl-NL"/>
              </w:rPr>
              <w:t>Trompete</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p>
          <w:p>
            <w:pPr>
              <w:pStyle w:val="T4dispositie"/>
              <w:rPr>
                <w:lang w:val="nl-NL"/>
              </w:rPr>
            </w:pPr>
            <w:r>
              <w:rPr>
                <w:lang w:val="nl-NL"/>
              </w:rPr>
              <w:t>5-7 f.</w:t>
            </w:r>
          </w:p>
          <w:p>
            <w:pPr>
              <w:pStyle w:val="T4dispositie"/>
              <w:rPr>
                <w:lang w:val="nl-NL"/>
              </w:rPr>
            </w:pPr>
            <w:r>
              <w:rPr>
                <w:lang w:val="nl-NL"/>
              </w:rPr>
              <w:t>8'</w:t>
            </w:r>
          </w:p>
        </w:tc>
        <w:tc>
          <w:tcPr>
            <w:tcW w:w="1620" w:type="dxa"/>
            <w:tcBorders/>
          </w:tcPr>
          <w:p>
            <w:pPr>
              <w:pStyle w:val="T4dispositie"/>
              <w:rPr>
                <w:i/>
                <w:i/>
                <w:iCs/>
                <w:lang w:val="nl-NL"/>
              </w:rPr>
            </w:pPr>
            <w:r>
              <w:rPr>
                <w:i/>
                <w:iCs/>
                <w:lang w:val="nl-NL"/>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Gedackt</w:t>
            </w:r>
          </w:p>
          <w:p>
            <w:pPr>
              <w:pStyle w:val="T4dispositie"/>
              <w:rPr>
                <w:lang w:val="nl-NL"/>
              </w:rPr>
            </w:pPr>
            <w:r>
              <w:rPr>
                <w:lang w:val="nl-NL"/>
              </w:rPr>
              <w:t>Principal</w:t>
            </w:r>
          </w:p>
          <w:p>
            <w:pPr>
              <w:pStyle w:val="T4dispositie"/>
              <w:rPr>
                <w:lang w:val="nl-NL"/>
              </w:rPr>
            </w:pPr>
            <w:r>
              <w:rPr>
                <w:lang w:val="nl-NL"/>
              </w:rPr>
              <w:t>Rohrflöte</w:t>
            </w:r>
          </w:p>
          <w:p>
            <w:pPr>
              <w:pStyle w:val="T4dispositie"/>
              <w:rPr>
                <w:lang w:val="nl-NL"/>
              </w:rPr>
            </w:pPr>
            <w:r>
              <w:rPr>
                <w:lang w:val="nl-NL"/>
              </w:rPr>
              <w:t>Gemshorn</w:t>
            </w:r>
          </w:p>
          <w:p>
            <w:pPr>
              <w:pStyle w:val="T4dispositie"/>
              <w:rPr>
                <w:lang w:val="nl-NL"/>
              </w:rPr>
            </w:pPr>
            <w:r>
              <w:rPr>
                <w:lang w:val="nl-NL"/>
              </w:rPr>
              <w:t>Nasat</w:t>
            </w:r>
          </w:p>
          <w:p>
            <w:pPr>
              <w:pStyle w:val="T4dispositie"/>
              <w:rPr>
                <w:lang w:val="nl-NL"/>
              </w:rPr>
            </w:pPr>
            <w:r>
              <w:rPr>
                <w:lang w:val="nl-NL"/>
              </w:rPr>
              <w:t>Sesquialtera</w:t>
            </w:r>
          </w:p>
          <w:p>
            <w:pPr>
              <w:pStyle w:val="T4dispositie"/>
              <w:rPr>
                <w:lang w:val="nl-NL"/>
              </w:rPr>
            </w:pPr>
            <w:r>
              <w:rPr>
                <w:lang w:val="nl-NL"/>
              </w:rPr>
              <w:t>Scharf</w:t>
            </w:r>
          </w:p>
          <w:p>
            <w:pPr>
              <w:pStyle w:val="T4dispositie"/>
              <w:rPr>
                <w:lang w:val="nl-NL"/>
              </w:rPr>
            </w:pPr>
            <w:r>
              <w:rPr>
                <w:lang w:val="nl-NL"/>
              </w:rPr>
              <w:t>Krummhorn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2 f.</w:t>
            </w:r>
          </w:p>
          <w:p>
            <w:pPr>
              <w:pStyle w:val="T4dispositie"/>
              <w:rPr>
                <w:lang w:val="nl-NL"/>
              </w:rPr>
            </w:pPr>
            <w:r>
              <w:rPr>
                <w:lang w:val="nl-NL"/>
              </w:rPr>
              <w:t>3-4 f.</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Principal</w:t>
            </w:r>
          </w:p>
          <w:p>
            <w:pPr>
              <w:pStyle w:val="T4dispositie"/>
              <w:rPr>
                <w:lang w:val="nl-NL"/>
              </w:rPr>
            </w:pPr>
            <w:r>
              <w:rPr>
                <w:lang w:val="nl-NL"/>
              </w:rPr>
              <w:t>Oktave</w:t>
            </w:r>
          </w:p>
          <w:p>
            <w:pPr>
              <w:pStyle w:val="T4dispositie"/>
              <w:rPr>
                <w:lang w:val="nl-NL"/>
              </w:rPr>
            </w:pPr>
            <w:r>
              <w:rPr>
                <w:lang w:val="nl-NL"/>
              </w:rPr>
              <w:t>Oktave</w:t>
            </w:r>
          </w:p>
          <w:p>
            <w:pPr>
              <w:pStyle w:val="T4dispositie"/>
              <w:rPr>
                <w:lang w:val="nl-NL"/>
              </w:rPr>
            </w:pPr>
            <w:r>
              <w:rPr>
                <w:lang w:val="nl-NL"/>
              </w:rPr>
              <w:t>Mixtur</w:t>
            </w:r>
          </w:p>
          <w:p>
            <w:pPr>
              <w:pStyle w:val="T4dispositie"/>
              <w:rPr>
                <w:lang w:val="nl-NL"/>
              </w:rPr>
            </w:pPr>
            <w:r>
              <w:rPr>
                <w:lang w:val="nl-NL"/>
              </w:rPr>
              <w:t>Posaune</w:t>
            </w:r>
          </w:p>
          <w:p>
            <w:pPr>
              <w:pStyle w:val="T4dispositie"/>
              <w:rPr>
                <w:lang w:val="nl-NL"/>
              </w:rPr>
            </w:pPr>
            <w:r>
              <w:rPr>
                <w:lang w:val="nl-NL"/>
              </w:rPr>
              <w:t>Trompete</w:t>
            </w:r>
          </w:p>
          <w:p>
            <w:pPr>
              <w:pStyle w:val="T4dispositie"/>
              <w:rPr>
                <w:lang w:val="nl-NL"/>
              </w:rPr>
            </w:pPr>
            <w:r>
              <w:rPr>
                <w:lang w:val="nl-NL"/>
              </w:rPr>
              <w:t>Schalmei</w:t>
            </w:r>
          </w:p>
        </w:tc>
        <w:tc>
          <w:tcPr>
            <w:tcW w:w="6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5 kor</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tremulo</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Mixtur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Scharf RP</w:t>
            </w:r>
          </w:p>
        </w:tc>
        <w:tc>
          <w:tcPr>
            <w:tcW w:w="718"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H</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9" w:type="dxa"/>
            <w:tcBorders/>
          </w:tcPr>
          <w:p>
            <w:pPr>
              <w:pStyle w:val="T4dispositie"/>
              <w:rPr>
                <w:lang w:val="nl-NL"/>
              </w:rPr>
            </w:pPr>
            <w:r>
              <w:rPr>
                <w:lang w:val="nl-NL"/>
              </w:rPr>
              <w:t>b</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a</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gis</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fr-FR"/>
        </w:rPr>
      </w:pPr>
      <w:r>
        <w:rPr>
          <w:lang w:val="fr-FR"/>
        </w:rPr>
        <w:t xml:space="preserve">Sesquialtera RP   </w:t>
      </w:r>
      <w:r>
        <w:rPr>
          <w:sz w:val="20"/>
        </w:rPr>
        <w:t>c   2 2/3 - 1 3/5</w:t>
      </w:r>
    </w:p>
    <w:p>
      <w:pPr>
        <w:pStyle w:val="T1"/>
        <w:jc w:val="start"/>
        <w:rPr>
          <w:lang w:val="fr-FR"/>
        </w:rPr>
      </w:pPr>
      <w:r>
        <w:rPr>
          <w:lang w:val="fr-FR"/>
        </w:rPr>
      </w:r>
    </w:p>
    <w:tbl>
      <w:tblPr>
        <w:tblW w:w="2457" w:type="dxa"/>
        <w:jc w:val="start"/>
        <w:tblInd w:w="-70" w:type="dxa"/>
        <w:tblLayout w:type="fixed"/>
        <w:tblCellMar>
          <w:top w:w="0" w:type="dxa"/>
          <w:start w:w="70" w:type="dxa"/>
          <w:bottom w:w="0" w:type="dxa"/>
          <w:end w:w="70" w:type="dxa"/>
        </w:tblCellMar>
      </w:tblPr>
      <w:tblGrid>
        <w:gridCol w:w="1739"/>
        <w:gridCol w:w="718"/>
      </w:tblGrid>
      <w:tr>
        <w:trPr/>
        <w:tc>
          <w:tcPr>
            <w:tcW w:w="1739" w:type="dxa"/>
            <w:tcBorders/>
          </w:tcPr>
          <w:p>
            <w:pPr>
              <w:pStyle w:val="T1"/>
              <w:jc w:val="start"/>
              <w:rPr>
                <w:lang w:val="nl-NL"/>
              </w:rPr>
            </w:pPr>
            <w:r>
              <w:rPr>
                <w:lang w:val="nl-NL"/>
              </w:rPr>
              <w:t>Mixtur Ped</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lang w:val="nl-NL"/>
        </w:rPr>
      </w:pPr>
      <w:r>
        <w:rPr>
          <w:lang w:val="nl-NL"/>
        </w:rPr>
        <w:t>HW en RP 50 mm, Ped 55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HW en RP</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rFonts w:ascii="Times" w:hAnsi="Times" w:cs="Times"/>
          <w:lang w:val="nl-NL"/>
        </w:rPr>
      </w:pPr>
      <w:r>
        <w:rPr>
          <w:rFonts w:cs="Times" w:ascii="Times" w:hAnsi="Times"/>
          <w:lang w:val="nl-NL"/>
        </w:rPr>
        <w:t>De bouw van dit orgel werd gefinancierd door het Rampenfonds en begeleid door W. Hülsman namens de Orgelcommissie van de Hervormde Kerk in samenwerking met P.J. de Bruyn en H. Houët namens de Katholieke Klokken- en Orgelraad. De vrijstaande speeltafel werd aangebracht op verzoek van dirigent-organist F.G. van Peer. De inspeling op 7 april 1962 werd verzorgd door J. Zimmerman uit Keulen.</w:t>
      </w:r>
    </w:p>
    <w:p>
      <w:pPr>
        <w:pStyle w:val="T1"/>
        <w:jc w:val="start"/>
        <w:rPr/>
      </w:pPr>
      <w:r>
        <w:rPr>
          <w:rFonts w:cs="Times" w:ascii="Times" w:hAnsi="Times"/>
          <w:lang w:val="nl-NL"/>
        </w:rPr>
        <w:t xml:space="preserve">De ebbenhouten registertrekkers met ingegraveerde registernamen bevinden zich in tweemaal vier horizontale rijen aan weerszijden van de handklavieren met links HW, labialen Ped en koppelingen en rechts RP, tongwerken Ped en Tremulo. </w:t>
      </w:r>
      <w:r>
        <w:rPr>
          <w:rFonts w:cs="Times" w:ascii="Times" w:hAnsi="Times"/>
        </w:rPr>
        <w:t>De ondertoetsen van de handklavieren zijn belegd met ebbenhout.</w:t>
      </w:r>
    </w:p>
    <w:p>
      <w:pPr>
        <w:pStyle w:val="T1"/>
        <w:jc w:val="start"/>
        <w:rPr/>
      </w:pPr>
      <w:r>
        <w:rPr>
          <w:rFonts w:cs="Times" w:ascii="Times" w:hAnsi="Times"/>
          <w:lang w:val="nl-NL"/>
        </w:rPr>
        <w:t xml:space="preserve">De laden voor HW en RP hebben een identieke indeling: C-A aan weerszijden, B-d in het midden en het vervolg in hele tonen naar binnen aflopend tussenbeide. </w:t>
      </w:r>
      <w:r>
        <w:rPr>
          <w:rFonts w:cs="Times" w:ascii="Times" w:hAnsi="Times"/>
        </w:rPr>
        <w:t xml:space="preserve">Voor het Ped zijn een afzonderlijke C- en Cislade aanwezig, diatonisch aflopend vanaf het front met de Posaune aan de binnen- en de overige tongwerken aan de buitenzijde. </w:t>
      </w:r>
      <w:r>
        <w:rPr>
          <w:rFonts w:cs="Times" w:ascii="Times" w:hAnsi="Times"/>
          <w:lang w:val="nl-NL"/>
        </w:rPr>
        <w:t>De Mixtur 5 fach Ped staat op verhoogde banken. Voor het hele orgel ligt de C-zijde vanuit de kerk gezien links.</w:t>
      </w:r>
    </w:p>
    <w:p>
      <w:pPr>
        <w:pStyle w:val="T1"/>
        <w:jc w:val="start"/>
        <w:rPr/>
      </w:pPr>
      <w:r>
        <w:rPr>
          <w:rFonts w:cs="Times" w:ascii="Times" w:hAnsi="Times"/>
          <w:lang w:val="nl-NL"/>
        </w:rPr>
        <w:t>In de fronten spreken C-A van de Principal 16</w:t>
      </w:r>
      <w:r>
        <w:rPr>
          <w:lang w:val="nl-NL"/>
        </w:rPr>
        <w:t>'</w:t>
      </w:r>
      <w:r>
        <w:rPr>
          <w:rFonts w:cs="Times" w:ascii="Times" w:hAnsi="Times"/>
          <w:lang w:val="nl-NL"/>
        </w:rPr>
        <w:t xml:space="preserve"> Ped, C-b</w:t>
      </w:r>
      <w:r>
        <w:rPr>
          <w:rFonts w:cs="Times" w:ascii="Times" w:hAnsi="Times"/>
          <w:vertAlign w:val="superscript"/>
          <w:lang w:val="nl-NL"/>
        </w:rPr>
        <w:t>1</w:t>
      </w:r>
      <w:r>
        <w:rPr>
          <w:rFonts w:cs="Times" w:ascii="Times" w:hAnsi="Times"/>
          <w:lang w:val="nl-NL"/>
        </w:rPr>
        <w:t xml:space="preserve"> van de Principal 8</w:t>
      </w:r>
      <w:r>
        <w:rPr>
          <w:lang w:val="nl-NL"/>
        </w:rPr>
        <w:t>'</w:t>
      </w:r>
      <w:r>
        <w:rPr>
          <w:rFonts w:cs="Times" w:ascii="Times" w:hAnsi="Times"/>
          <w:lang w:val="nl-NL"/>
        </w:rPr>
        <w:t xml:space="preserve"> HW en C-a</w:t>
      </w:r>
      <w:r>
        <w:rPr>
          <w:rFonts w:cs="Times" w:ascii="Times" w:hAnsi="Times"/>
          <w:vertAlign w:val="superscript"/>
          <w:lang w:val="nl-NL"/>
        </w:rPr>
        <w:t>1</w:t>
      </w:r>
      <w:r>
        <w:rPr>
          <w:rFonts w:cs="Times" w:ascii="Times" w:hAnsi="Times"/>
          <w:lang w:val="nl-NL"/>
        </w:rPr>
        <w:t xml:space="preserve"> van de Principal 4</w:t>
      </w:r>
      <w:r>
        <w:rPr>
          <w:lang w:val="nl-NL"/>
        </w:rPr>
        <w:t>'</w:t>
      </w:r>
      <w:r>
        <w:rPr>
          <w:rFonts w:cs="Times" w:ascii="Times" w:hAnsi="Times"/>
          <w:lang w:val="nl-NL"/>
        </w:rPr>
        <w:t xml:space="preserve"> RP. De Gedackt 8</w:t>
      </w:r>
      <w:r>
        <w:rPr>
          <w:lang w:val="nl-NL"/>
        </w:rPr>
        <w:t>'</w:t>
      </w:r>
      <w:r>
        <w:rPr>
          <w:rFonts w:cs="Times" w:ascii="Times" w:hAnsi="Times"/>
          <w:lang w:val="nl-NL"/>
        </w:rPr>
        <w:t xml:space="preserve"> RP is geheel van eiken. Principal 16</w:t>
      </w:r>
      <w:r>
        <w:rPr>
          <w:lang w:val="nl-NL"/>
        </w:rPr>
        <w:t>'</w:t>
      </w:r>
      <w:r>
        <w:rPr>
          <w:rFonts w:cs="Times" w:ascii="Times" w:hAnsi="Times"/>
          <w:lang w:val="nl-NL"/>
        </w:rPr>
        <w:t xml:space="preserve"> en Oktave 8</w:t>
      </w:r>
      <w:r>
        <w:rPr>
          <w:lang w:val="nl-NL"/>
        </w:rPr>
        <w:t>'</w:t>
      </w:r>
      <w:r>
        <w:rPr>
          <w:rFonts w:cs="Times" w:ascii="Times" w:hAnsi="Times"/>
          <w:lang w:val="nl-NL"/>
        </w:rPr>
        <w:t xml:space="preserve"> Ped zijn van roodkoper. C-H van Gemshorn 8</w:t>
      </w:r>
      <w:r>
        <w:rPr>
          <w:lang w:val="nl-NL"/>
        </w:rPr>
        <w:t>'</w:t>
      </w:r>
      <w:r>
        <w:rPr>
          <w:rFonts w:cs="Times" w:ascii="Times" w:hAnsi="Times"/>
          <w:lang w:val="nl-NL"/>
        </w:rPr>
        <w:t xml:space="preserve"> en Rohrflöte 8</w:t>
      </w:r>
      <w:r>
        <w:rPr>
          <w:lang w:val="nl-NL"/>
        </w:rPr>
        <w:t>'</w:t>
      </w:r>
      <w:r>
        <w:rPr>
          <w:rFonts w:cs="Times" w:ascii="Times" w:hAnsi="Times"/>
          <w:lang w:val="nl-NL"/>
        </w:rPr>
        <w:t xml:space="preserve"> (roeren vanaf c) zijn gecombineerd. Het vervolg van de Gemshorn 8</w:t>
      </w:r>
      <w:r>
        <w:rPr>
          <w:lang w:val="nl-NL"/>
        </w:rPr>
        <w:t>'</w:t>
      </w:r>
      <w:r>
        <w:rPr>
          <w:rFonts w:cs="Times" w:ascii="Times" w:hAnsi="Times"/>
          <w:lang w:val="nl-NL"/>
        </w:rPr>
        <w:t xml:space="preserve"> (integraal voorzien van stemlappen) is conisch open, evenals de Spitzflöte 4</w:t>
      </w:r>
      <w:r>
        <w:rPr>
          <w:lang w:val="nl-NL"/>
        </w:rPr>
        <w:t>'</w:t>
      </w:r>
      <w:r>
        <w:rPr>
          <w:rFonts w:cs="Times" w:ascii="Times" w:hAnsi="Times"/>
          <w:lang w:val="nl-NL"/>
        </w:rPr>
        <w:t xml:space="preserve"> HW (C-cis</w:t>
      </w:r>
      <w:r>
        <w:rPr>
          <w:rFonts w:cs="Times" w:ascii="Times" w:hAnsi="Times"/>
          <w:vertAlign w:val="superscript"/>
          <w:lang w:val="nl-NL"/>
        </w:rPr>
        <w:t>1</w:t>
      </w:r>
      <w:r>
        <w:rPr>
          <w:rFonts w:cs="Times" w:ascii="Times" w:hAnsi="Times"/>
          <w:lang w:val="nl-NL"/>
        </w:rPr>
        <w:t xml:space="preserve"> stemlap) en de Gemshorn 2</w:t>
      </w:r>
      <w:r>
        <w:rPr>
          <w:lang w:val="nl-NL"/>
        </w:rPr>
        <w:t>'</w:t>
      </w:r>
      <w:r>
        <w:rPr>
          <w:rFonts w:cs="Times" w:ascii="Times" w:hAnsi="Times"/>
          <w:lang w:val="nl-NL"/>
        </w:rPr>
        <w:t xml:space="preserve"> RP (C-g stemlap). De Rohrflöte 4</w:t>
      </w:r>
      <w:r>
        <w:rPr>
          <w:lang w:val="nl-NL"/>
        </w:rPr>
        <w:t>'</w:t>
      </w:r>
      <w:r>
        <w:rPr>
          <w:rFonts w:cs="Times" w:ascii="Times" w:hAnsi="Times"/>
          <w:lang w:val="nl-NL"/>
        </w:rPr>
        <w:t xml:space="preserve"> RW is conisch open vanaf fis</w:t>
      </w:r>
      <w:r>
        <w:rPr>
          <w:rFonts w:cs="Times" w:ascii="Times" w:hAnsi="Times"/>
          <w:vertAlign w:val="superscript"/>
          <w:lang w:val="nl-NL"/>
        </w:rPr>
        <w:t>2</w:t>
      </w:r>
      <w:r>
        <w:rPr>
          <w:rFonts w:cs="Times" w:ascii="Times" w:hAnsi="Times"/>
          <w:lang w:val="nl-NL"/>
        </w:rPr>
        <w:t>. De Nasat 1 1/3</w:t>
      </w:r>
      <w:r>
        <w:rPr>
          <w:lang w:val="nl-NL"/>
        </w:rPr>
        <w:t>'</w:t>
      </w:r>
      <w:r>
        <w:rPr>
          <w:rFonts w:cs="Times" w:ascii="Times" w:hAnsi="Times"/>
          <w:lang w:val="nl-NL"/>
        </w:rPr>
        <w:t xml:space="preserve"> (C-b stemlap) is cilindrisch open. De binnenprestanten inclusief Mixturen hebben stemlappen tot 1/2</w:t>
      </w:r>
      <w:r>
        <w:rPr>
          <w:lang w:val="nl-NL"/>
        </w:rPr>
        <w:t>' </w:t>
      </w:r>
      <w:r>
        <w:rPr>
          <w:rFonts w:cs="Times" w:ascii="Times" w:hAnsi="Times"/>
          <w:lang w:val="nl-NL"/>
        </w:rPr>
        <w:t>lengte.</w:t>
      </w:r>
    </w:p>
    <w:p>
      <w:pPr>
        <w:pStyle w:val="T1"/>
        <w:jc w:val="start"/>
        <w:rPr>
          <w:rFonts w:ascii="Times" w:hAnsi="Times" w:cs="Times"/>
        </w:rPr>
      </w:pPr>
      <w:r>
        <w:rPr>
          <w:rFonts w:cs="Times" w:ascii="Times" w:hAnsi="Times"/>
        </w:rPr>
        <w:t>De intonatie is merendeels uitgevoerd op basis van lage winddruk met open pijpvoeten.</w:t>
      </w:r>
    </w:p>
    <w:p>
      <w:pPr>
        <w:pStyle w:val="T1"/>
        <w:jc w:val="start"/>
        <w:rPr/>
      </w:pPr>
      <w:r>
        <w:rPr>
          <w:lang w:val="nl-NL"/>
        </w:rPr>
        <w:t xml:space="preserve">De tongwerken (Giesecke) hebben metalen koppen en stevels met uitzondering van de Posaune 16' met houten koppen en metalen stevels en de horizontale Trompete 8' met een houten stevelblok. Posaune 16' Ped, Trompete 8' HW en Krummhorn 8' RP hebben roodkoperen bekers. </w:t>
      </w:r>
      <w:r>
        <w:rPr/>
        <w:t>De Krummhorn heeft enge bekers, vanaf f zonder onderconus op de koppen geplaatst. Alle bekers van dit register hebben verstelbare ringen, C-h</w:t>
      </w:r>
      <w:r>
        <w:rPr>
          <w:vertAlign w:val="superscript"/>
        </w:rPr>
        <w:t>1</w:t>
      </w:r>
      <w:r>
        <w:rPr/>
        <w:t xml:space="preserve"> zijn halfgedekt. </w:t>
      </w:r>
      <w:r>
        <w:rPr>
          <w:lang w:val="nl-NL"/>
        </w:rPr>
        <w:t>De Schalmei 4' Ped met een samengestelde hobobekervorm is eveneens halfgedekt.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3</Pages>
  <Words>933</Words>
  <Characters>4952</Characters>
  <CharactersWithSpaces>5726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2010-03-23T15:36:00Z</dcterms:created>
  <dc:creator>WS1</dc:creator>
  <dc:description/>
  <dc:language>en-US</dc:language>
  <cp:lastModifiedBy>NIvO</cp:lastModifiedBy>
  <dcterms:modified xsi:type="dcterms:W3CDTF">2010-03-23T21:15:00Z</dcterms:modified>
  <cp:revision>3</cp:revision>
  <dc:subject/>
  <dc:title>Heumen / ca 1860</dc:title>
</cp:coreProperties>
</file>