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 Tonge / 1966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Tweebeukige kerk met lager vijfzijdig gesloten koor en half ingebouwde toren van vier geledingen. Het laatgotische koor met sacristie werd eind 15e eeuw gebouwd; het schip, de recht gesloten noordbeuk en de toren in de eerste helft van de 16e eeuw. Het zuidportaal met ingezwenkte gevel werd in 1742 toegevoegd. Inwendig houten tongwelven. 16e-eeuws tekstbord, preekstoel uit 1633. De torenbekroning met opengewerkte lantaarn werd bij de kerkrestauratie in 1963-’66 aangebracht.</w:t>
      </w:r>
    </w:p>
    <w:p>
      <w:pPr>
        <w:pStyle w:val="T1"/>
        <w:jc w:val="start"/>
        <w:rPr>
          <w:i/>
          <w:i/>
          <w:iCs/>
          <w:lang w:val="nl-NL"/>
        </w:rPr>
      </w:pPr>
      <w:r>
        <w:rPr>
          <w:i/>
          <w:iCs/>
          <w:lang w:val="nl-NL"/>
        </w:rPr>
      </w:r>
    </w:p>
    <w:p>
      <w:pPr>
        <w:pStyle w:val="T1"/>
        <w:jc w:val="start"/>
        <w:rPr>
          <w:lang w:val="nl-NL"/>
        </w:rPr>
      </w:pPr>
      <w:r>
        <w:rPr>
          <w:lang w:val="nl-NL"/>
        </w:rPr>
        <w:t>Kas: 1966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De vormgeving van dit na de watersnood van 1953 door het Rampenfonds gefinancierde instrument vormde gedurende de kerkrestauratie aanleiding voor langdurige discussie tussen orgelmaker, orgelcommissie van de Hervormde Kerk, rijksbureau-architect E.A. Canneman en restauratiearchitect J. de Wilde. Dispositie en definitieve opdracht aan Frobenius werden al in 1959 vastgesteld. Het eerste frontontwerp van Frobenius uit december 1962 werd door de beide architecten als te modern en niet passend in de historische kerkruimte beschouwd. Architect De Wilde verzorgde daarop op basis van het eerste Frobenius-ontwerp een ontwerp in historiserende trant, waarin bekroningen en vleugelstukken van het monumentale bestaande orgel van Oude Tonge zouden worden opgenomen, dat in 1897 door de Gebr. Franssen in deze kerk werd geplaatst en in correspondentie uit de vijftiger jaren wel aan de orgelmakers Smits uit Reek wordt toegeschreven. Het als anachronistisch beschouwde ontwerp van De Wilde vond echter geen instemming bij orgelmaker en orgelcommissie van de Hervormde Kerk. De ornamentiek van het oude orgel werd door Canneman en De Wilde toegepast voor een nieuw rugpositief voor het orgel (ca 1800) van het naburige Nieuwe Tonge, het eigenlijke instrument werd verkocht aan de firma Vierdag. Voor het nieuwe orgel van Oude Tonge werd een compromis gevonden door de geschilderde balustrade naar ontwerp van De Wilde in klassieke trant op dorische zuilen en met een klassiek drieledige basementlijst met architraaf, fries en kroonlijst te vervaardigen. Het eigenlijke frontontwerp van Frobenius-medewerker Detlefsen werd uiteindelijk slechts in geringe mate aangepast door basement-, krans- en kaplijsten van meer klassiek drieledige profileringen te voorzien en de hoofdwerkconsoles holrond uit te voeren. De basisindeling van het eerste frontontwerp is in alle latere ontwerpfasen gehandhaafd gebleven. De frontopbouw is ontworpen vanuit de symmetrieas van de excentrisch half in het schip ingebouwde toren met overhoekse steunberen. De verhoudingen van de in blank eiken uitgevoerde kassen zijn in samenhang met de balustrade bepaald door de keuze voor geheel vrijstaande acht-voets pedaaltorens. De hoogtepositie van de vier-voets rugwerkkas op blokvormig gelede sokkel is daarbij bepaald vanuit een doorgaande horizontale lijn over de kroonlijst van het rugpositief en de kranslijst van de pedaaltorens. De bovenzijde van de hoofdwerk kranslijst ligt op halve hoogte van de pedaaltorens. Door de hoofdwerk Principal 8</w:t>
      </w:r>
      <w:r>
        <w:rPr>
          <w:rFonts w:cs="Times New Roman" w:ascii="Times New Roman" w:hAnsi="Times New Roman"/>
          <w:lang w:val="nl-NL"/>
        </w:rPr>
        <w:t>'</w:t>
      </w:r>
      <w:r>
        <w:rPr>
          <w:lang w:val="nl-NL"/>
        </w:rPr>
        <w:t xml:space="preserve"> eerst vanaf D in het front te plaatsen kon een al te volumineus hoofdwerk-front ten opzichte van de pedaaltorens worden voorkomen. De geringe breedte van de beide polygonale middentorens wordt bepaald door de opmerkelijke keuze voor beide manuaalwerken een even aantal van vier pijpen. De spitse hoektorens zijn met elk een drietal pijpen eveneens bewust smal gehouden. In de beide pedaaltorens wordt deze spitse vorm op geraffineerde wijze overgenomen door de eveneens tweemaal drie grootste van de zeven frontpijpen vooruitspringend op te stellen; het effect daarvan wordt op subtiele wijze in het blinderingswerk geaccentueerd. Het blinderingswerk is op klassieke wijze vóór de pijpuiteinden aangebracht en verloopt qua contourwerking consequent in tegenbeweging tot de labiumlijnen. De toegepaste visblaastraceringen vinden hun oorsprong in het eerste Frobenius-ontwerp, maar zijn in de tussenvelden uiteindelijk fijnmaziger uitgevoerd. De torenblinderingen zijn wel merendeels volgens het eerste ontwerp uitgevoerd. Ze zijn opgezet vanuit een kielboogprofiel, in de middentoren van het rugpositief door een ingesnoerd blokmotief onderbroken. In totaliteit een zeer evenwichtig front dat op harmonieuze wijze klassieke tradities en eigentijdse vormgeving combineert.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i/>
          <w:iCs/>
          <w:lang w:val="nl-NL"/>
        </w:rPr>
        <w:t xml:space="preserve">Het Orgel </w:t>
      </w:r>
      <w:r>
        <w:rPr>
          <w:bCs/>
          <w:lang w:val="nl-NL"/>
        </w:rPr>
        <w:t>62/12 (1966), 325, 329.</w:t>
      </w:r>
    </w:p>
    <w:p>
      <w:pPr>
        <w:pStyle w:val="T3Lit"/>
        <w:jc w:val="start"/>
        <w:rPr>
          <w:bCs/>
          <w:lang w:val="nl-NL"/>
        </w:rPr>
      </w:pPr>
      <w:r>
        <w:rPr>
          <w:bCs/>
          <w:lang w:val="nl-NL"/>
        </w:rPr>
      </w:r>
    </w:p>
    <w:p>
      <w:pPr>
        <w:pStyle w:val="T3Lit"/>
        <w:jc w:val="start"/>
        <w:rPr>
          <w:bCs/>
          <w:lang w:val="nl-NL"/>
        </w:rPr>
      </w:pPr>
      <w:r>
        <w:rPr>
          <w:b/>
          <w:lang w:val="nl-NL"/>
        </w:rPr>
        <w:t>Niet gepubliceerde bron</w:t>
      </w:r>
    </w:p>
    <w:p>
      <w:pPr>
        <w:pStyle w:val="T3Lit"/>
        <w:jc w:val="start"/>
        <w:rPr>
          <w:bCs/>
          <w:lang w:val="nl-NL"/>
        </w:rPr>
      </w:pPr>
      <w:r>
        <w:rPr>
          <w:bCs/>
          <w:lang w:val="nl-NL"/>
        </w:rPr>
        <w:t>Archief Orgelcommissie Hervormde Kerk.</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Th. Frobenius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1966</w:t>
      </w:r>
    </w:p>
    <w:p>
      <w:pPr>
        <w:pStyle w:val="T1"/>
        <w:jc w:val="start"/>
        <w:rPr>
          <w:lang w:val="nl-NL"/>
        </w:rPr>
      </w:pPr>
      <w:r>
        <w:rPr>
          <w:lang w:val="nl-NL"/>
        </w:rPr>
      </w:r>
    </w:p>
    <w:p>
      <w:pPr>
        <w:pStyle w:val="T1"/>
        <w:jc w:val="start"/>
        <w:rPr>
          <w:lang w:val="nl-NL"/>
        </w:rPr>
      </w:pPr>
      <w:r>
        <w:rPr>
          <w:lang w:val="nl-NL"/>
        </w:rPr>
        <w:t>Orgelmakerij Reil 2002</w:t>
      </w:r>
    </w:p>
    <w:p>
      <w:pPr>
        <w:pStyle w:val="T1"/>
        <w:numPr>
          <w:ilvl w:val="0"/>
          <w:numId w:val="2"/>
        </w:numPr>
        <w:jc w:val="start"/>
        <w:rPr>
          <w:lang w:val="nl-NL"/>
        </w:rPr>
      </w:pPr>
      <w:r>
        <w:rPr>
          <w:lang w:val="nl-NL"/>
        </w:rPr>
        <w:t>groot onderhoud</w:t>
      </w:r>
    </w:p>
    <w:p>
      <w:pPr>
        <w:pStyle w:val="T1"/>
        <w:numPr>
          <w:ilvl w:val="0"/>
          <w:numId w:val="2"/>
        </w:numPr>
        <w:jc w:val="start"/>
        <w:rPr>
          <w:lang w:val="nl-NL"/>
        </w:rPr>
      </w:pPr>
      <w:r>
        <w:rPr>
          <w:lang w:val="nl-NL"/>
        </w:rPr>
        <w:t>klaviatuur gerestaureerd</w:t>
      </w:r>
    </w:p>
    <w:p>
      <w:pPr>
        <w:pStyle w:val="T1"/>
        <w:numPr>
          <w:ilvl w:val="0"/>
          <w:numId w:val="2"/>
        </w:numPr>
        <w:jc w:val="start"/>
        <w:rPr>
          <w:lang w:val="nl-NL"/>
        </w:rPr>
      </w:pPr>
      <w:r>
        <w:rPr>
          <w:lang w:val="nl-NL"/>
        </w:rPr>
        <w:t>grootste bekers Posaune 16' hersteld en van betere ophanging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882" w:type="dxa"/>
        <w:jc w:val="start"/>
        <w:tblInd w:w="-70" w:type="dxa"/>
        <w:tblLayout w:type="fixed"/>
        <w:tblCellMar>
          <w:top w:w="0" w:type="dxa"/>
          <w:start w:w="70" w:type="dxa"/>
          <w:bottom w:w="0" w:type="dxa"/>
          <w:end w:w="70" w:type="dxa"/>
        </w:tblCellMar>
      </w:tblPr>
      <w:tblGrid>
        <w:gridCol w:w="1510"/>
        <w:gridCol w:w="900"/>
        <w:gridCol w:w="1620"/>
        <w:gridCol w:w="811"/>
        <w:gridCol w:w="1349"/>
        <w:gridCol w:w="692"/>
      </w:tblGrid>
      <w:tr>
        <w:trPr/>
        <w:tc>
          <w:tcPr>
            <w:tcW w:w="1510" w:type="dxa"/>
            <w:tcBorders/>
          </w:tcPr>
          <w:p>
            <w:pPr>
              <w:pStyle w:val="T4dispositie"/>
              <w:rPr>
                <w:i/>
                <w:i/>
                <w:iCs/>
                <w:lang w:val="nl-NL"/>
              </w:rPr>
            </w:pPr>
            <w:r>
              <w:rPr>
                <w:i/>
                <w:iCs/>
                <w:lang w:val="nl-NL"/>
              </w:rPr>
              <w:t>Hoofdwerk (II)</w:t>
            </w:r>
          </w:p>
          <w:p>
            <w:pPr>
              <w:pStyle w:val="T4dispositie"/>
              <w:rPr>
                <w:lang w:val="fr-FR"/>
              </w:rPr>
            </w:pPr>
            <w:r>
              <w:rPr>
                <w:lang w:val="fr-FR"/>
              </w:rPr>
              <w:t>8 stemmen</w:t>
            </w:r>
          </w:p>
          <w:p>
            <w:pPr>
              <w:pStyle w:val="T4dispositie"/>
              <w:rPr>
                <w:lang w:val="fr-FR"/>
              </w:rPr>
            </w:pPr>
            <w:r>
              <w:rPr>
                <w:lang w:val="fr-FR"/>
              </w:rPr>
            </w:r>
          </w:p>
          <w:p>
            <w:pPr>
              <w:pStyle w:val="T4dispositie"/>
              <w:rPr>
                <w:lang w:val="fr-FR"/>
              </w:rPr>
            </w:pPr>
            <w:r>
              <w:rPr>
                <w:lang w:val="fr-FR"/>
              </w:rPr>
              <w:t>Quintatøn</w:t>
            </w:r>
          </w:p>
          <w:p>
            <w:pPr>
              <w:pStyle w:val="T4dispositie"/>
              <w:rPr>
                <w:lang w:val="fr-FR"/>
              </w:rPr>
            </w:pPr>
            <w:r>
              <w:rPr>
                <w:lang w:val="fr-FR"/>
              </w:rPr>
              <w:t>Principal</w:t>
            </w:r>
          </w:p>
          <w:p>
            <w:pPr>
              <w:pStyle w:val="T4dispositie"/>
              <w:rPr>
                <w:lang w:val="fr-FR"/>
              </w:rPr>
            </w:pPr>
            <w:r>
              <w:rPr>
                <w:lang w:val="fr-FR"/>
              </w:rPr>
              <w:t>Rørfløjte</w:t>
            </w:r>
          </w:p>
          <w:p>
            <w:pPr>
              <w:pStyle w:val="T4dispositie"/>
              <w:rPr>
                <w:lang w:val="fr-FR"/>
              </w:rPr>
            </w:pPr>
            <w:r>
              <w:rPr>
                <w:lang w:val="fr-FR"/>
              </w:rPr>
              <w:t>Oktav</w:t>
            </w:r>
          </w:p>
          <w:p>
            <w:pPr>
              <w:pStyle w:val="T4dispositie"/>
              <w:rPr>
                <w:lang w:val="fr-FR"/>
              </w:rPr>
            </w:pPr>
            <w:r>
              <w:rPr>
                <w:lang w:val="fr-FR"/>
              </w:rPr>
              <w:t>Spidsfløjte</w:t>
            </w:r>
          </w:p>
          <w:p>
            <w:pPr>
              <w:pStyle w:val="T4dispositie"/>
              <w:rPr/>
            </w:pPr>
            <w:r>
              <w:rPr/>
              <w:t>Oktav</w:t>
            </w:r>
          </w:p>
          <w:p>
            <w:pPr>
              <w:pStyle w:val="T4dispositie"/>
              <w:rPr/>
            </w:pPr>
            <w:r>
              <w:rPr/>
              <w:t>Mixtur</w:t>
            </w:r>
          </w:p>
          <w:p>
            <w:pPr>
              <w:pStyle w:val="T4dispositie"/>
              <w:rPr/>
            </w:pPr>
            <w:r>
              <w:rPr/>
              <w:t>Trumpet</w:t>
            </w:r>
          </w:p>
        </w:tc>
        <w:tc>
          <w:tcPr>
            <w:tcW w:w="900" w:type="dxa"/>
            <w:tcBorders/>
          </w:tcPr>
          <w:p>
            <w:pPr>
              <w:pStyle w:val="T4dispositie"/>
              <w:snapToGrid w:val="false"/>
              <w:rPr/>
            </w:pPr>
            <w:r>
              <w:rPr/>
            </w:r>
          </w:p>
          <w:p>
            <w:pPr>
              <w:pStyle w:val="T4dispositie"/>
              <w:rPr/>
            </w:pPr>
            <w:r>
              <w:rPr/>
            </w:r>
          </w:p>
          <w:p>
            <w:pPr>
              <w:pStyle w:val="T4dispositie"/>
              <w:rPr/>
            </w:pPr>
            <w:r>
              <w:rPr/>
            </w:r>
          </w:p>
          <w:p>
            <w:pPr>
              <w:pStyle w:val="T4dispositie"/>
              <w:rPr>
                <w:lang w:val="nl-NL"/>
              </w:rPr>
            </w:pPr>
            <w:r>
              <w:rPr>
                <w:lang w:val="nl-NL"/>
              </w:rPr>
              <w:t>16</w:t>
            </w:r>
            <w:r>
              <w:rPr/>
              <w:t>'</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4-6 kor</w:t>
            </w:r>
          </w:p>
          <w:p>
            <w:pPr>
              <w:pStyle w:val="T4dispositie"/>
              <w:rPr>
                <w:lang w:val="nl-NL"/>
              </w:rPr>
            </w:pPr>
            <w:r>
              <w:rPr>
                <w:lang w:val="nl-NL"/>
              </w:rPr>
              <w:t>8'</w:t>
            </w:r>
          </w:p>
        </w:tc>
        <w:tc>
          <w:tcPr>
            <w:tcW w:w="1620" w:type="dxa"/>
            <w:tcBorders/>
          </w:tcPr>
          <w:p>
            <w:pPr>
              <w:pStyle w:val="T4dispositie"/>
              <w:rPr>
                <w:i/>
                <w:i/>
                <w:iCs/>
                <w:lang w:val="nl-NL"/>
              </w:rPr>
            </w:pPr>
            <w:r>
              <w:rPr>
                <w:i/>
                <w:iCs/>
                <w:lang w:val="nl-NL"/>
              </w:rPr>
              <w:t>Rugpositief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Gedakt</w:t>
            </w:r>
          </w:p>
          <w:p>
            <w:pPr>
              <w:pStyle w:val="T4dispositie"/>
              <w:rPr>
                <w:lang w:val="nl-NL"/>
              </w:rPr>
            </w:pPr>
            <w:r>
              <w:rPr>
                <w:lang w:val="nl-NL"/>
              </w:rPr>
              <w:t>Principal</w:t>
            </w:r>
          </w:p>
          <w:p>
            <w:pPr>
              <w:pStyle w:val="T4dispositie"/>
              <w:rPr>
                <w:lang w:val="fr-FR"/>
              </w:rPr>
            </w:pPr>
            <w:r>
              <w:rPr>
                <w:lang w:val="fr-FR"/>
              </w:rPr>
              <w:t>Rørfløjte</w:t>
            </w:r>
          </w:p>
          <w:p>
            <w:pPr>
              <w:pStyle w:val="T4dispositie"/>
              <w:rPr>
                <w:lang w:val="fr-FR"/>
              </w:rPr>
            </w:pPr>
            <w:r>
              <w:rPr>
                <w:lang w:val="fr-FR"/>
              </w:rPr>
              <w:t>Gemshorn</w:t>
            </w:r>
          </w:p>
          <w:p>
            <w:pPr>
              <w:pStyle w:val="T4dispositie"/>
              <w:rPr>
                <w:lang w:val="fr-FR"/>
              </w:rPr>
            </w:pPr>
            <w:r>
              <w:rPr>
                <w:lang w:val="fr-FR"/>
              </w:rPr>
              <w:t>Sesquialtera</w:t>
            </w:r>
          </w:p>
          <w:p>
            <w:pPr>
              <w:pStyle w:val="T4dispositie"/>
              <w:rPr>
                <w:lang w:val="fr-FR"/>
              </w:rPr>
            </w:pPr>
            <w:r>
              <w:rPr>
                <w:lang w:val="fr-FR"/>
              </w:rPr>
              <w:t>Scharf</w:t>
            </w:r>
          </w:p>
          <w:p>
            <w:pPr>
              <w:pStyle w:val="T4dispositie"/>
              <w:rPr>
                <w:lang w:val="nl-NL"/>
              </w:rPr>
            </w:pPr>
            <w:r>
              <w:rPr>
                <w:lang w:val="fr-FR"/>
              </w:rPr>
              <w:t>Dulcian</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kor</w:t>
            </w:r>
          </w:p>
          <w:p>
            <w:pPr>
              <w:pStyle w:val="T4dispositie"/>
              <w:rPr>
                <w:lang w:val="nl-NL"/>
              </w:rPr>
            </w:pPr>
            <w:r>
              <w:rPr>
                <w:lang w:val="nl-NL"/>
              </w:rPr>
              <w:t>3-4 kor</w:t>
            </w:r>
          </w:p>
          <w:p>
            <w:pPr>
              <w:pStyle w:val="T4dispositie"/>
              <w:rPr>
                <w:lang w:val="nl-NL"/>
              </w:rPr>
            </w:pPr>
            <w:r>
              <w:rPr>
                <w:lang w:val="nl-NL"/>
              </w:rPr>
              <w:t>8'</w:t>
            </w:r>
          </w:p>
        </w:tc>
        <w:tc>
          <w:tcPr>
            <w:tcW w:w="1349" w:type="dxa"/>
            <w:tcBorders/>
          </w:tcPr>
          <w:p>
            <w:pPr>
              <w:pStyle w:val="T4dispositie"/>
              <w:rPr>
                <w:i/>
                <w:i/>
                <w:iCs/>
                <w:lang w:val="nl-NL"/>
              </w:rPr>
            </w:pPr>
            <w:r>
              <w:rPr>
                <w:i/>
                <w:iCs/>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Principal</w:t>
            </w:r>
          </w:p>
          <w:p>
            <w:pPr>
              <w:pStyle w:val="T4dispositie"/>
              <w:rPr>
                <w:lang w:val="nl-NL"/>
              </w:rPr>
            </w:pPr>
            <w:r>
              <w:rPr>
                <w:lang w:val="nl-NL"/>
              </w:rPr>
              <w:t>Oktav</w:t>
            </w:r>
          </w:p>
          <w:p>
            <w:pPr>
              <w:pStyle w:val="T4dispositie"/>
              <w:rPr>
                <w:lang w:val="nl-NL"/>
              </w:rPr>
            </w:pPr>
            <w:r>
              <w:rPr>
                <w:lang w:val="nl-NL"/>
              </w:rPr>
              <w:t>Mixtur</w:t>
            </w:r>
          </w:p>
          <w:p>
            <w:pPr>
              <w:pStyle w:val="T4dispositie"/>
              <w:rPr>
                <w:lang w:val="nl-NL"/>
              </w:rPr>
            </w:pPr>
            <w:r>
              <w:rPr>
                <w:lang w:val="nl-NL"/>
              </w:rPr>
              <w:t>Posaune</w:t>
            </w:r>
          </w:p>
          <w:p>
            <w:pPr>
              <w:pStyle w:val="T4dispositie"/>
              <w:rPr>
                <w:lang w:val="nl-NL"/>
              </w:rPr>
            </w:pPr>
            <w:r>
              <w:rPr>
                <w:lang w:val="nl-NL"/>
              </w:rPr>
              <w:t>Skalmej</w:t>
            </w:r>
          </w:p>
        </w:tc>
        <w:tc>
          <w:tcPr>
            <w:tcW w:w="6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 kor</w:t>
            </w:r>
          </w:p>
          <w:p>
            <w:pPr>
              <w:pStyle w:val="T4dispositie"/>
              <w:rPr>
                <w:lang w:val="nl-NL"/>
              </w:rPr>
            </w:pPr>
            <w:r>
              <w:rPr>
                <w:lang w:val="nl-NL"/>
              </w:rPr>
              <w:t>16'</w:t>
            </w:r>
          </w:p>
          <w:p>
            <w:pPr>
              <w:pStyle w:val="T4dispositie"/>
              <w:rPr>
                <w:lang w:val="nl-NL"/>
              </w:rPr>
            </w:pPr>
            <w:r>
              <w:rPr>
                <w:lang w:val="nl-NL"/>
              </w:rPr>
              <w:t>8'</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6522" w:type="dxa"/>
        <w:jc w:val="start"/>
        <w:tblInd w:w="-70" w:type="dxa"/>
        <w:tblLayout w:type="fixed"/>
        <w:tblCellMar>
          <w:top w:w="0" w:type="dxa"/>
          <w:start w:w="70" w:type="dxa"/>
          <w:bottom w:w="0" w:type="dxa"/>
          <w:end w:w="70" w:type="dxa"/>
        </w:tblCellMar>
      </w:tblPr>
      <w:tblGrid>
        <w:gridCol w:w="1474"/>
        <w:gridCol w:w="718"/>
        <w:gridCol w:w="718"/>
        <w:gridCol w:w="729"/>
        <w:gridCol w:w="729"/>
        <w:gridCol w:w="718"/>
        <w:gridCol w:w="718"/>
        <w:gridCol w:w="718"/>
      </w:tblGrid>
      <w:tr>
        <w:trPr/>
        <w:tc>
          <w:tcPr>
            <w:tcW w:w="1474" w:type="dxa"/>
            <w:tcBorders/>
          </w:tcPr>
          <w:p>
            <w:pPr>
              <w:pStyle w:val="T1"/>
              <w:jc w:val="start"/>
              <w:rPr>
                <w:lang w:val="nl-NL"/>
              </w:rPr>
            </w:pPr>
            <w:r>
              <w:rPr>
                <w:lang w:val="nl-NL"/>
              </w:rPr>
              <w:t>Mixtur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fis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fis</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3175" w:type="dxa"/>
        <w:jc w:val="start"/>
        <w:tblInd w:w="-70" w:type="dxa"/>
        <w:tblLayout w:type="fixed"/>
        <w:tblCellMar>
          <w:top w:w="0" w:type="dxa"/>
          <w:start w:w="70" w:type="dxa"/>
          <w:bottom w:w="0" w:type="dxa"/>
          <w:end w:w="70" w:type="dxa"/>
        </w:tblCellMar>
      </w:tblPr>
      <w:tblGrid>
        <w:gridCol w:w="1739"/>
        <w:gridCol w:w="718"/>
        <w:gridCol w:w="718"/>
      </w:tblGrid>
      <w:tr>
        <w:trPr/>
        <w:tc>
          <w:tcPr>
            <w:tcW w:w="1739" w:type="dxa"/>
            <w:tcBorders/>
          </w:tcPr>
          <w:p>
            <w:pPr>
              <w:pStyle w:val="T1"/>
              <w:jc w:val="start"/>
              <w:rPr>
                <w:lang w:val="fr-FR"/>
              </w:rPr>
            </w:pPr>
            <w:r>
              <w:rPr>
                <w:lang w:val="fr-FR"/>
              </w:rPr>
              <w:t>Sesquialtera RP</w:t>
            </w:r>
          </w:p>
        </w:tc>
        <w:tc>
          <w:tcPr>
            <w:tcW w:w="718" w:type="dxa"/>
            <w:tcBorders/>
          </w:tcPr>
          <w:p>
            <w:pPr>
              <w:pStyle w:val="T4dispositie"/>
              <w:rPr/>
            </w:pPr>
            <w:r>
              <w:rPr/>
              <w:t>C</w:t>
            </w:r>
          </w:p>
          <w:p>
            <w:pPr>
              <w:pStyle w:val="T4dispositie"/>
              <w:rPr/>
            </w:pPr>
            <w:r>
              <w:rPr/>
              <w:t>1 1/3</w:t>
            </w:r>
          </w:p>
          <w:p>
            <w:pPr>
              <w:pStyle w:val="T4dispositie"/>
              <w:rPr>
                <w:lang w:val="nl-NL"/>
              </w:rPr>
            </w:pPr>
            <w:r>
              <w:rPr>
                <w:lang w:val="nl-NL"/>
              </w:rPr>
              <w:t>4/5</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29"/>
        <w:gridCol w:w="718"/>
        <w:gridCol w:w="718"/>
      </w:tblGrid>
      <w:tr>
        <w:trPr/>
        <w:tc>
          <w:tcPr>
            <w:tcW w:w="1474" w:type="dxa"/>
            <w:tcBorders/>
          </w:tcPr>
          <w:p>
            <w:pPr>
              <w:pStyle w:val="T1"/>
              <w:jc w:val="start"/>
              <w:rPr>
                <w:lang w:val="nl-NL"/>
              </w:rPr>
            </w:pPr>
            <w:r>
              <w:rPr>
                <w:lang w:val="nl-NL"/>
              </w:rPr>
              <w:t>Scharf RP</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2457" w:type="dxa"/>
        <w:jc w:val="start"/>
        <w:tblInd w:w="-70" w:type="dxa"/>
        <w:tblLayout w:type="fixed"/>
        <w:tblCellMar>
          <w:top w:w="0" w:type="dxa"/>
          <w:start w:w="70" w:type="dxa"/>
          <w:bottom w:w="0" w:type="dxa"/>
          <w:end w:w="70" w:type="dxa"/>
        </w:tblCellMar>
      </w:tblPr>
      <w:tblGrid>
        <w:gridCol w:w="1739"/>
        <w:gridCol w:w="718"/>
      </w:tblGrid>
      <w:tr>
        <w:trPr/>
        <w:tc>
          <w:tcPr>
            <w:tcW w:w="1739" w:type="dxa"/>
            <w:tcBorders/>
          </w:tcPr>
          <w:p>
            <w:pPr>
              <w:pStyle w:val="T1"/>
              <w:jc w:val="start"/>
              <w:rPr>
                <w:lang w:val="fr-FR"/>
              </w:rPr>
            </w:pPr>
            <w:r>
              <w:rPr>
                <w:lang w:val="fr-FR"/>
              </w:rPr>
              <w:t>Mixtur Ped</w:t>
            </w:r>
          </w:p>
        </w:tc>
        <w:tc>
          <w:tcPr>
            <w:tcW w:w="718" w:type="dxa"/>
            <w:tcBorders/>
          </w:tcPr>
          <w:p>
            <w:pPr>
              <w:pStyle w:val="T4dispositie"/>
              <w:rPr>
                <w:lang w:val="fr-FR"/>
              </w:rPr>
            </w:pPr>
            <w:r>
              <w:rPr>
                <w:lang w:val="fr-FR"/>
              </w:rPr>
              <w:t>C</w:t>
            </w:r>
          </w:p>
          <w:p>
            <w:pPr>
              <w:pStyle w:val="T4dispositie"/>
              <w:rPr>
                <w:lang w:val="fr-FR"/>
              </w:rPr>
            </w:pPr>
            <w:r>
              <w:rPr>
                <w:lang w:val="fr-FR"/>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beweegbare ladebodems</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rFonts w:cs="Times" w:ascii="Times" w:hAnsi="Times"/>
          <w:lang w:val="nl-NL"/>
        </w:rPr>
        <w:t xml:space="preserve">De bouw van dit orgel werd gefinancierd door het Rampenfonds en namens de Hervormde Orgelcommissie begeleid door L. Erné. De registertrekkers bevinden zich in tweemaal twee verticale rijen aan weerszijden van de handklavieren, aan beide zijden de bovenste vier HW, vervolgens vier RP en daaronder het Ped met de koppelingen links onder en de vulstemmen en tongwerken merendeels rechts. </w:t>
      </w:r>
      <w:r>
        <w:rPr>
          <w:rFonts w:cs="Times" w:ascii="Times" w:hAnsi="Times"/>
        </w:rPr>
        <w:t xml:space="preserve">De Deenstalige opschriften zijn op schildjes op de knoppen aangebracht. </w:t>
      </w:r>
      <w:r>
        <w:rPr>
          <w:rFonts w:cs="Times" w:ascii="Times" w:hAnsi="Times"/>
          <w:lang w:val="nl-NL"/>
        </w:rPr>
        <w:t xml:space="preserve">Een signatuur is aangebracht in de klavierlijst onder de hanklavieren. De laden van HW en RP volgen de frontindeling met C-F (HW) resp. C-Dis (RP) in het midden en G-H (HW) resp. E-A (RP) - met de grootste pijpen middenin - aan weerszijden. </w:t>
      </w:r>
      <w:r>
        <w:rPr>
          <w:rFonts w:cs="Times" w:ascii="Times" w:hAnsi="Times"/>
        </w:rPr>
        <w:t>De C-en Cis-lade van het Ped hebben een tertsopstelling met de c-e-gis- resp. cis-f-a-reeks aan de binnenzijden. Voor het gehele orgel ligt de C-zijde vanuit de kerk gezien links. De laden van HW en Ped zijn voorzien van stempistons.</w:t>
      </w:r>
    </w:p>
    <w:p>
      <w:pPr>
        <w:pStyle w:val="T1"/>
        <w:jc w:val="start"/>
        <w:rPr/>
      </w:pPr>
      <w:r>
        <w:rPr>
          <w:rFonts w:cs="Times" w:ascii="Times" w:hAnsi="Times"/>
        </w:rPr>
        <w:t xml:space="preserve">In de fronten spreken resp. </w:t>
      </w:r>
      <w:r>
        <w:rPr>
          <w:rFonts w:cs="Times" w:ascii="Times" w:hAnsi="Times"/>
          <w:lang w:val="nl-NL"/>
        </w:rPr>
        <w:t>D-f</w:t>
      </w:r>
      <w:r>
        <w:rPr>
          <w:rFonts w:cs="Times" w:ascii="Times" w:hAnsi="Times"/>
          <w:vertAlign w:val="superscript"/>
          <w:lang w:val="nl-NL"/>
        </w:rPr>
        <w:t>1</w:t>
      </w:r>
      <w:r>
        <w:rPr>
          <w:rFonts w:cs="Times" w:ascii="Times" w:hAnsi="Times"/>
          <w:lang w:val="nl-NL"/>
        </w:rPr>
        <w:t xml:space="preserve"> van de Principal 8</w:t>
      </w:r>
      <w:r>
        <w:rPr>
          <w:lang w:val="nl-NL"/>
        </w:rPr>
        <w:t>'</w:t>
      </w:r>
      <w:r>
        <w:rPr>
          <w:rFonts w:cs="Times" w:ascii="Times" w:hAnsi="Times"/>
          <w:lang w:val="nl-NL"/>
        </w:rPr>
        <w:t xml:space="preserve"> HW (C-Cis verkropte binnenpijpen), C-h</w:t>
      </w:r>
      <w:r>
        <w:rPr>
          <w:rFonts w:cs="Times" w:ascii="Times" w:hAnsi="Times"/>
          <w:vertAlign w:val="superscript"/>
          <w:lang w:val="nl-NL"/>
        </w:rPr>
        <w:t>1</w:t>
      </w:r>
      <w:r>
        <w:rPr>
          <w:rFonts w:cs="Times" w:ascii="Times" w:hAnsi="Times"/>
          <w:lang w:val="nl-NL"/>
        </w:rPr>
        <w:t xml:space="preserve"> van de Principal 4</w:t>
      </w:r>
      <w:r>
        <w:rPr>
          <w:lang w:val="nl-NL"/>
        </w:rPr>
        <w:t>'</w:t>
      </w:r>
      <w:r>
        <w:rPr>
          <w:rFonts w:cs="Times" w:ascii="Times" w:hAnsi="Times"/>
          <w:lang w:val="nl-NL"/>
        </w:rPr>
        <w:t xml:space="preserve"> RP en C-cis van de Principal 8</w:t>
      </w:r>
      <w:r>
        <w:rPr>
          <w:lang w:val="nl-NL"/>
        </w:rPr>
        <w:t>'</w:t>
      </w:r>
      <w:r>
        <w:rPr>
          <w:rFonts w:cs="Times" w:ascii="Times" w:hAnsi="Times"/>
          <w:lang w:val="nl-NL"/>
        </w:rPr>
        <w:t xml:space="preserve"> Ped. </w:t>
      </w:r>
      <w:r>
        <w:rPr>
          <w:rFonts w:cs="Times" w:ascii="Times" w:hAnsi="Times"/>
        </w:rPr>
        <w:t xml:space="preserve">In het orgel is geen houten pijpwerk toegepast. </w:t>
      </w:r>
      <w:r>
        <w:rPr>
          <w:rFonts w:cs="Times" w:ascii="Times" w:hAnsi="Times"/>
          <w:lang w:val="nl-NL"/>
        </w:rPr>
        <w:t>C-h van de Quintatøn 16</w:t>
      </w:r>
      <w:r>
        <w:rPr>
          <w:lang w:val="nl-NL"/>
        </w:rPr>
        <w:t>'</w:t>
      </w:r>
      <w:r>
        <w:rPr>
          <w:rFonts w:cs="Times" w:ascii="Times" w:hAnsi="Times"/>
          <w:lang w:val="nl-NL"/>
        </w:rPr>
        <w:t xml:space="preserve"> (C-F gedekt 5 1/3</w:t>
      </w:r>
      <w:r>
        <w:rPr>
          <w:lang w:val="nl-NL"/>
        </w:rPr>
        <w:t>'</w:t>
      </w:r>
      <w:r>
        <w:rPr>
          <w:rFonts w:cs="Times" w:ascii="Times" w:hAnsi="Times"/>
          <w:lang w:val="nl-NL"/>
        </w:rPr>
        <w:t>), C-H van Rørfløjte 8</w:t>
      </w:r>
      <w:r>
        <w:rPr>
          <w:lang w:val="nl-NL"/>
        </w:rPr>
        <w:t>'</w:t>
      </w:r>
      <w:r>
        <w:rPr>
          <w:rFonts w:cs="Times" w:ascii="Times" w:hAnsi="Times"/>
          <w:lang w:val="nl-NL"/>
        </w:rPr>
        <w:t xml:space="preserve"> HW en Gedakt 8</w:t>
      </w:r>
      <w:r>
        <w:rPr>
          <w:lang w:val="nl-NL"/>
        </w:rPr>
        <w:t>'</w:t>
      </w:r>
      <w:r>
        <w:rPr>
          <w:rFonts w:cs="Times" w:ascii="Times" w:hAnsi="Times"/>
          <w:lang w:val="nl-NL"/>
        </w:rPr>
        <w:t xml:space="preserve"> RP en de gehele Subbas 16</w:t>
      </w:r>
      <w:r>
        <w:rPr>
          <w:lang w:val="nl-NL"/>
        </w:rPr>
        <w:t>'</w:t>
      </w:r>
      <w:r>
        <w:rPr>
          <w:rFonts w:cs="Times" w:ascii="Times" w:hAnsi="Times"/>
          <w:lang w:val="nl-NL"/>
        </w:rPr>
        <w:t xml:space="preserve"> zijn van koper. De Rørfløjten zijn voorzien van inwendige roeren. Spidsfløte 4</w:t>
      </w:r>
      <w:r>
        <w:rPr>
          <w:lang w:val="nl-NL"/>
        </w:rPr>
        <w:t>'</w:t>
      </w:r>
      <w:r>
        <w:rPr>
          <w:rFonts w:cs="Times" w:ascii="Times" w:hAnsi="Times"/>
          <w:lang w:val="nl-NL"/>
        </w:rPr>
        <w:t xml:space="preserve"> (C-f stemlappen) en Gemshorn 2</w:t>
      </w:r>
      <w:r>
        <w:rPr>
          <w:lang w:val="nl-NL"/>
        </w:rPr>
        <w:t>'</w:t>
      </w:r>
      <w:r>
        <w:rPr>
          <w:rFonts w:cs="Times" w:ascii="Times" w:hAnsi="Times"/>
          <w:lang w:val="nl-NL"/>
        </w:rPr>
        <w:t xml:space="preserve"> zijn conisch. De binnenprestanten hebben stemlappen tot 1</w:t>
      </w:r>
      <w:r>
        <w:rPr>
          <w:lang w:val="nl-NL"/>
        </w:rPr>
        <w:t>' </w:t>
      </w:r>
      <w:r>
        <w:rPr>
          <w:rFonts w:cs="Times" w:ascii="Times" w:hAnsi="Times"/>
          <w:lang w:val="nl-NL"/>
        </w:rPr>
        <w:t>lengte.</w:t>
      </w:r>
    </w:p>
    <w:p>
      <w:pPr>
        <w:pStyle w:val="T1"/>
        <w:jc w:val="start"/>
        <w:rPr/>
      </w:pPr>
      <w:r>
        <w:rPr/>
        <w:t xml:space="preserve">Alle tongwerken zijn geplaatst in stevelblokken met ronde mahonie koppen. </w:t>
      </w:r>
      <w:r>
        <w:rPr>
          <w:lang w:val="nl-NL"/>
        </w:rPr>
        <w:t xml:space="preserve">De Dulcian 8' is halfgedekt. De Posaune 16' heeft halve bekerlengte voor C-G. </w:t>
      </w:r>
      <w:r>
        <w:rPr/>
        <w:t>De Skalmej (halfgedekt) heeft enge trechtervormige bekers voor C-H en een samengestelde hobobekervorm voor c-f</w:t>
      </w:r>
      <w:r>
        <w:rPr>
          <w:vertAlign w:val="superscript"/>
        </w:rPr>
        <w:t>1</w:t>
      </w:r>
      <w:r>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94"/>
        </w:tabs>
        <w:ind w:start="794"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LibreOffice/7.2.1.2$MacOSX_X86_64 LibreOffice_project/87b77fad49947c1441b67c559c339af8f3517e22</Application>
  <AppVersion>15.0000</AppVersion>
  <Pages>4</Pages>
  <Words>1057</Words>
  <Characters>5750</Characters>
  <CharactersWithSpaces>6635</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2010-03-23T16:22:00Z</dcterms:created>
  <dc:creator>WS1</dc:creator>
  <dc:description/>
  <dc:language>en-US</dc:language>
  <cp:lastModifiedBy>NIvO</cp:lastModifiedBy>
  <dcterms:modified xsi:type="dcterms:W3CDTF">2010-03-23T21:23:00Z</dcterms:modified>
  <cp:revision>4</cp:revision>
  <dc:subject/>
  <dc:title>Heumen / ca 1860</dc:title>
</cp:coreProperties>
</file>