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start="0" w:hanging="0"/>
        <w:rPr/>
      </w:pPr>
      <w:r>
        <w:rPr/>
        <w:t>Amersfoort / 1967</w:t>
      </w:r>
    </w:p>
    <w:p>
      <w:pPr>
        <w:pStyle w:val="Heading2"/>
        <w:numPr>
          <w:ilvl w:val="0"/>
          <w:numId w:val="0"/>
        </w:numPr>
        <w:ind w:start="0" w:hanging="0"/>
        <w:rPr>
          <w:i w:val="false"/>
          <w:i w:val="false"/>
          <w:iCs/>
        </w:rPr>
      </w:pPr>
      <w:r>
        <w:rPr>
          <w:i w:val="false"/>
          <w:iCs/>
        </w:rPr>
        <w:t>Joriskerk</w:t>
      </w:r>
    </w:p>
    <w:p>
      <w:pPr>
        <w:pStyle w:val="T1"/>
        <w:jc w:val="start"/>
        <w:rPr>
          <w:i/>
          <w:i/>
          <w:iCs/>
          <w:lang w:val="nl-NL"/>
        </w:rPr>
      </w:pPr>
      <w:r>
        <w:rPr>
          <w:i/>
          <w:iCs/>
          <w:lang w:val="nl-NL"/>
        </w:rPr>
      </w:r>
    </w:p>
    <w:p>
      <w:pPr>
        <w:pStyle w:val="T1"/>
        <w:jc w:val="start"/>
        <w:rPr>
          <w:i/>
          <w:i/>
          <w:iCs/>
          <w:lang w:val="nl-NL"/>
        </w:rPr>
      </w:pPr>
      <w:r>
        <w:rPr>
          <w:i/>
          <w:iCs/>
          <w:lang w:val="nl-NL"/>
        </w:rPr>
        <w:t>Driebeukige gotische hallenkerk met in de zuidbeuk ingebouwde gedeeltelijk romaanse toren. Het gebouw kreeg zijn huidige vorm door een vermoedelijk na 1470 begonnen verbouwing van een vroeg 14e-eeuwse kruisbasiliek, die in de loop van de 16e eeuw werd afgesloten. Inwendig overal kruisribgewelven, waarop hier en daar schilderingen. Het belangrijkste stuk van de inventaris is het zandstenen oxaal uit omstreeks 1480. In 1844 werd daarop het Naber-orgel geplaatst, waarvoor een deel van de borstwering werd verwijderd. Bij de kerkrestauratie van 1961-1969 werd het orgel daar verwijderd waarna en het verdwenen gedeelte van de borstwering kon worden gereconstrueerd. Preekstoel 1659. In het noorderkoor grafmonument voor Jacob van Campen.</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1967</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Kunsthistorische aspecten</w:t>
      </w:r>
    </w:p>
    <w:p>
      <w:pPr>
        <w:pStyle w:val="T2Kunst"/>
        <w:jc w:val="start"/>
        <w:rPr/>
      </w:pPr>
      <w:r>
        <w:rPr/>
        <w:t>Veelvuldig, en door meerdere orgelmakers beproefd recept voor een eenklaviers orgel, soms ook met een borstwerk als tweede werk. Gebaseerd op historische voorbeelden.</w:t>
      </w:r>
    </w:p>
    <w:p>
      <w:pPr>
        <w:pStyle w:val="T2Kunst"/>
        <w:jc w:val="start"/>
        <w:rPr/>
      </w:pPr>
      <w:r>
        <w:rPr/>
        <w:t>Vijfledige hoofdvorm met spitse middentoren, vlakke zijvelden voor het vervolg van het frontregister, en lagere ongedeelde tussenvelden. Duidelijk vormgegeven frontkrans, frontstijlen met inkassingen, bescheiden bovenlijsten.</w:t>
      </w:r>
    </w:p>
    <w:p>
      <w:pPr>
        <w:pStyle w:val="T2Kunst"/>
        <w:jc w:val="start"/>
        <w:rPr>
          <w:lang w:val="nl-NL"/>
        </w:rPr>
      </w:pPr>
      <w:r>
        <w:rPr>
          <w:lang w:val="nl-NL"/>
        </w:rPr>
        <w:t>De onderkas is smaller dan de bovenkas, de overgang is van gebogen consoles voorzien. Door de plaatsing van vijf pijpen in middentoren en zijvelden is een slanke indruk ontstaan.</w:t>
      </w:r>
    </w:p>
    <w:p>
      <w:pPr>
        <w:pStyle w:val="T2Kunst"/>
        <w:jc w:val="start"/>
        <w:rPr/>
      </w:pPr>
      <w:r>
        <w:rPr/>
        <w:t>De labia van de pijpen in de middentoren lopen naar weerszijden op, de labia van de vier overige frontpartijen bevinden zich op één horizontale lijn. Omdat de frontpijpen natuurlijke lengte bezitten bleef hierdoor veel ruimte boven de pijpen over, welke met grote blinderingsstukken is gevuld.</w:t>
      </w:r>
    </w:p>
    <w:p>
      <w:pPr>
        <w:pStyle w:val="T2Kunst"/>
        <w:jc w:val="start"/>
        <w:rPr>
          <w:lang w:val="nl-NL"/>
        </w:rPr>
      </w:pPr>
      <w:r>
        <w:rPr>
          <w:lang w:val="nl-NL"/>
        </w:rPr>
        <w:t>De blinderingen zijn in klassieke zin ontworpen, en bestaan uit een enkele S-voluut, cirkelvormen en bladmotieven.</w:t>
      </w:r>
    </w:p>
    <w:p>
      <w:pPr>
        <w:pStyle w:val="T2Kunst"/>
        <w:jc w:val="start"/>
        <w:rPr/>
      </w:pPr>
      <w:r>
        <w:rPr/>
        <w:t>Het speelbalkon is samen met de orgelkas ontworpen, beide elementen bezitten nog de kleurstelling en goudbehandeling van de bouwtijd.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bCs/>
          <w:i/>
          <w:lang w:val="nl-NL"/>
        </w:rPr>
        <w:t>Amersfoort orgelstad</w:t>
      </w:r>
      <w:r>
        <w:rPr>
          <w:bCs/>
          <w:lang w:val="nl-NL"/>
        </w:rPr>
        <w:t>: Jubileum-orgeldag 50 jaar de Orgelvriend: Programmaboekje - 4 oktober 2008. - Bijlage bij: De Orgelvriend, jrg. 50 nr. 10, oktober 2008.</w:t>
      </w:r>
    </w:p>
    <w:p>
      <w:pPr>
        <w:pStyle w:val="T3Lit"/>
        <w:jc w:val="start"/>
        <w:rPr/>
      </w:pPr>
      <w:r>
        <w:rPr>
          <w:bCs/>
          <w:lang w:val="nl-NL"/>
        </w:rPr>
        <w:t xml:space="preserve">Hans Kriek, </w:t>
      </w:r>
      <w:r>
        <w:rPr>
          <w:bCs/>
          <w:i/>
          <w:lang w:val="nl-NL"/>
        </w:rPr>
        <w:t>Organum Novum Redivivum</w:t>
      </w:r>
      <w:r>
        <w:rPr>
          <w:bCs/>
          <w:lang w:val="nl-NL"/>
        </w:rPr>
        <w:t>. Buren, 1981, 188.</w:t>
      </w:r>
    </w:p>
    <w:p>
      <w:pPr>
        <w:pStyle w:val="T3Lit"/>
        <w:jc w:val="start"/>
        <w:rPr/>
      </w:pPr>
      <w:r>
        <w:rPr>
          <w:bCs/>
          <w:i/>
          <w:lang w:val="nl-NL"/>
        </w:rPr>
        <w:t>Het Orgel</w:t>
      </w:r>
      <w:r>
        <w:rPr>
          <w:bCs/>
          <w:lang w:val="nl-NL"/>
        </w:rPr>
        <w:t>, 62/3 (1966), 103; 63/12 (1967), 303; 64/12 (1968), 343.</w:t>
      </w:r>
    </w:p>
    <w:p>
      <w:pPr>
        <w:pStyle w:val="T3Lit"/>
        <w:jc w:val="start"/>
        <w:rPr/>
      </w:pPr>
      <w:r>
        <w:rPr>
          <w:bCs/>
          <w:i/>
          <w:lang w:val="nl-NL"/>
        </w:rPr>
        <w:t>De Orgelvriend</w:t>
      </w:r>
      <w:r>
        <w:rPr>
          <w:bCs/>
          <w:lang w:val="nl-NL"/>
        </w:rPr>
        <w:t>, 9/8-9 (1967), 12; 9/10 (1967), 9,12.; 22/9 (1980).</w:t>
      </w:r>
    </w:p>
    <w:p>
      <w:pPr>
        <w:pStyle w:val="T3Lit"/>
        <w:jc w:val="start"/>
        <w:rPr/>
      </w:pPr>
      <w:r>
        <w:rPr>
          <w:bCs/>
          <w:lang w:val="nl-NL"/>
        </w:rPr>
        <w:t xml:space="preserve">Jaap van der Steeg, Rudi van Straten, Jaap Remmelzwaal, </w:t>
      </w:r>
      <w:r>
        <w:rPr>
          <w:bCs/>
          <w:i/>
          <w:lang w:val="nl-NL"/>
        </w:rPr>
        <w:t xml:space="preserve">De orgels in de Grote- of Sint-Joriskerk te Amersfoort. </w:t>
      </w:r>
      <w:r>
        <w:rPr>
          <w:bCs/>
          <w:lang w:val="nl-NL"/>
        </w:rPr>
        <w:t>Amersfoort, 1995.</w:t>
      </w:r>
    </w:p>
    <w:p>
      <w:pPr>
        <w:pStyle w:val="T3Lit"/>
        <w:jc w:val="start"/>
        <w:rPr/>
      </w:pPr>
      <w:r>
        <w:rPr>
          <w:bCs/>
          <w:lang w:val="nl-NL"/>
        </w:rPr>
        <w:t xml:space="preserve">Maarten Seijbel, </w:t>
      </w:r>
      <w:r>
        <w:rPr>
          <w:bCs/>
          <w:i/>
          <w:lang w:val="nl-NL"/>
        </w:rPr>
        <w:t>Koororgels in Nederland</w:t>
      </w:r>
      <w:r>
        <w:rPr>
          <w:bCs/>
          <w:lang w:val="nl-NL"/>
        </w:rPr>
        <w:t>. Zaltbommel, 1979, 118-119.</w:t>
      </w:r>
    </w:p>
    <w:p>
      <w:pPr>
        <w:pStyle w:val="T3Lit"/>
        <w:jc w:val="start"/>
        <w:rPr/>
      </w:pPr>
      <w:r>
        <w:rPr>
          <w:lang w:val="nl-NL"/>
        </w:rPr>
        <w:t xml:space="preserve">Bert Wisgerhof, </w:t>
      </w:r>
      <w:r>
        <w:rPr>
          <w:i/>
          <w:lang w:val="nl-NL"/>
        </w:rPr>
        <w:t>Utrechts Orgellandschap.</w:t>
      </w:r>
      <w:r>
        <w:rPr>
          <w:lang w:val="nl-NL"/>
        </w:rPr>
        <w:t xml:space="preserve"> Amersfoort, 1979, 22-23.</w:t>
      </w:r>
    </w:p>
    <w:p>
      <w:pPr>
        <w:pStyle w:val="T3Lit"/>
        <w:jc w:val="start"/>
        <w:rPr>
          <w:lang w:val="nl-NL"/>
        </w:rPr>
      </w:pPr>
      <w:r>
        <w:rPr>
          <w:lang w:val="nl-NL"/>
        </w:rPr>
      </w:r>
    </w:p>
    <w:p>
      <w:pPr>
        <w:pStyle w:val="T3Lit"/>
        <w:jc w:val="start"/>
        <w:rPr>
          <w:bCs/>
          <w:lang w:val="nl-NL"/>
        </w:rPr>
      </w:pPr>
      <w:r>
        <w:rPr>
          <w:bCs/>
          <w:lang w:val="nl-NL"/>
        </w:rPr>
        <w:t>Monumentnummer 7882</w:t>
      </w:r>
    </w:p>
    <w:p>
      <w:pPr>
        <w:pStyle w:val="T3Lit"/>
        <w:jc w:val="start"/>
        <w:rPr>
          <w:bCs/>
          <w:lang w:val="nl-NL"/>
        </w:rPr>
      </w:pPr>
      <w:r>
        <w:rPr>
          <w:bCs/>
          <w:lang w:val="nl-NL"/>
        </w:rPr>
      </w:r>
    </w:p>
    <w:p>
      <w:pPr>
        <w:pStyle w:val="Heading2"/>
        <w:numPr>
          <w:ilvl w:val="0"/>
          <w:numId w:val="0"/>
        </w:numPr>
        <w:ind w:start="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Oscar Metzler &amp; Söhne</w:t>
      </w:r>
    </w:p>
    <w:p>
      <w:pPr>
        <w:pStyle w:val="T1"/>
        <w:jc w:val="start"/>
        <w:rPr>
          <w:lang w:val="nl-NL"/>
        </w:rPr>
      </w:pPr>
      <w:r>
        <w:rPr>
          <w:lang w:val="nl-NL"/>
        </w:rPr>
      </w:r>
    </w:p>
    <w:p>
      <w:pPr>
        <w:pStyle w:val="T1"/>
        <w:jc w:val="start"/>
        <w:rPr>
          <w:lang w:val="nl-NL"/>
        </w:rPr>
      </w:pPr>
      <w:r>
        <w:rPr>
          <w:lang w:val="nl-NL"/>
        </w:rPr>
        <w:t>Jaar van oplevering</w:t>
      </w:r>
    </w:p>
    <w:p>
      <w:pPr>
        <w:pStyle w:val="T1"/>
        <w:rPr>
          <w:lang w:val="nl-NL"/>
        </w:rPr>
      </w:pPr>
      <w:r>
        <w:rPr>
          <w:lang w:val="nl-NL"/>
        </w:rPr>
        <w:t>1967</w:t>
      </w:r>
    </w:p>
    <w:p>
      <w:pPr>
        <w:pStyle w:val="T1"/>
        <w:rPr>
          <w:lang w:val="nl-NL"/>
        </w:rPr>
      </w:pPr>
      <w:r>
        <w:rPr>
          <w:lang w:val="nl-NL"/>
        </w:rPr>
      </w:r>
    </w:p>
    <w:p>
      <w:pPr>
        <w:pStyle w:val="T1"/>
        <w:rPr>
          <w:lang w:val="nl-NL"/>
        </w:rPr>
      </w:pPr>
      <w:r>
        <w:rPr>
          <w:lang w:val="nl-NL"/>
        </w:rPr>
        <w:t>Oscar Metzler &amp; Söhne 1969</w:t>
      </w:r>
    </w:p>
    <w:p>
      <w:pPr>
        <w:pStyle w:val="T1"/>
        <w:numPr>
          <w:ilvl w:val="0"/>
          <w:numId w:val="2"/>
        </w:numPr>
        <w:jc w:val="start"/>
        <w:rPr>
          <w:lang w:val="nl-NL"/>
        </w:rPr>
      </w:pPr>
      <w:r>
        <w:rPr>
          <w:lang w:val="nl-NL"/>
        </w:rPr>
        <w:t>orgel verplaatst van zuidbeuk naar huidige locatie</w:t>
      </w:r>
    </w:p>
    <w:p>
      <w:pPr>
        <w:pStyle w:val="T1"/>
        <w:rPr>
          <w:lang w:val="nl-NL"/>
        </w:rPr>
      </w:pPr>
      <w:r>
        <w:rPr>
          <w:lang w:val="nl-NL"/>
        </w:rPr>
      </w:r>
    </w:p>
    <w:p>
      <w:pPr>
        <w:pStyle w:val="Heading2"/>
        <w:numPr>
          <w:ilvl w:val="0"/>
          <w:numId w:val="0"/>
        </w:numPr>
        <w:ind w:start="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lang w:val="fr-FR"/>
        </w:rPr>
      </w:pPr>
      <w:r>
        <w:rPr>
          <w:lang w:val="fr-FR"/>
        </w:rPr>
        <w:t>Dispositie</w:t>
      </w:r>
    </w:p>
    <w:p>
      <w:pPr>
        <w:pStyle w:val="T1"/>
        <w:jc w:val="start"/>
        <w:rPr>
          <w:lang w:val="fr-FR"/>
        </w:rPr>
      </w:pPr>
      <w:r>
        <w:rPr>
          <w:lang w:val="fr-FR"/>
        </w:rPr>
      </w:r>
    </w:p>
    <w:tbl>
      <w:tblPr>
        <w:tblW w:w="3904" w:type="dxa"/>
        <w:jc w:val="start"/>
        <w:tblInd w:w="-70" w:type="dxa"/>
        <w:tblLayout w:type="fixed"/>
        <w:tblCellMar>
          <w:top w:w="0" w:type="dxa"/>
          <w:start w:w="70" w:type="dxa"/>
          <w:bottom w:w="0" w:type="dxa"/>
          <w:end w:w="70" w:type="dxa"/>
        </w:tblCellMar>
      </w:tblPr>
      <w:tblGrid>
        <w:gridCol w:w="1199"/>
        <w:gridCol w:w="751"/>
        <w:gridCol w:w="1131"/>
        <w:gridCol w:w="823"/>
      </w:tblGrid>
      <w:tr>
        <w:trPr/>
        <w:tc>
          <w:tcPr>
            <w:tcW w:w="1199" w:type="dxa"/>
            <w:tcBorders/>
          </w:tcPr>
          <w:p>
            <w:pPr>
              <w:pStyle w:val="T4dispositie"/>
              <w:snapToGrid w:val="false"/>
              <w:rPr>
                <w:i/>
                <w:i/>
                <w:iCs/>
                <w:lang w:val="fr-FR"/>
              </w:rPr>
            </w:pPr>
            <w:r>
              <w:rPr>
                <w:i/>
                <w:iCs/>
                <w:lang w:val="fr-FR"/>
              </w:rPr>
              <w:t>Manuaal</w:t>
            </w:r>
          </w:p>
          <w:p>
            <w:pPr>
              <w:pStyle w:val="T4dispositie"/>
              <w:snapToGrid w:val="false"/>
              <w:rPr>
                <w:lang w:val="fr-FR"/>
              </w:rPr>
            </w:pPr>
            <w:r>
              <w:rPr>
                <w:lang w:val="fr-FR"/>
              </w:rPr>
              <w:t>9 stemmen</w:t>
            </w:r>
          </w:p>
          <w:p>
            <w:pPr>
              <w:pStyle w:val="T4dispositie"/>
              <w:snapToGrid w:val="false"/>
              <w:rPr>
                <w:i/>
                <w:i/>
                <w:iCs/>
                <w:lang w:val="fr-FR"/>
              </w:rPr>
            </w:pPr>
            <w:r>
              <w:rPr>
                <w:i/>
                <w:iCs/>
                <w:lang w:val="fr-FR"/>
              </w:rPr>
            </w:r>
          </w:p>
          <w:p>
            <w:pPr>
              <w:pStyle w:val="T4dispositie"/>
              <w:rPr>
                <w:lang w:val="fr-FR"/>
              </w:rPr>
            </w:pPr>
            <w:r>
              <w:rPr>
                <w:lang w:val="fr-FR"/>
              </w:rPr>
              <w:t>Quintade</w:t>
            </w:r>
          </w:p>
          <w:p>
            <w:pPr>
              <w:pStyle w:val="T4dispositie"/>
              <w:rPr>
                <w:lang w:val="fr-FR"/>
              </w:rPr>
            </w:pPr>
            <w:r>
              <w:rPr>
                <w:lang w:val="fr-FR"/>
              </w:rPr>
              <w:t>Prinzipal</w:t>
            </w:r>
          </w:p>
          <w:p>
            <w:pPr>
              <w:pStyle w:val="T4dispositie"/>
              <w:rPr>
                <w:lang w:val="fr-FR"/>
              </w:rPr>
            </w:pPr>
            <w:r>
              <w:rPr>
                <w:lang w:val="fr-FR"/>
              </w:rPr>
              <w:t>Gedackt</w:t>
            </w:r>
          </w:p>
          <w:p>
            <w:pPr>
              <w:pStyle w:val="T4dispositie"/>
              <w:rPr>
                <w:lang w:val="fr-FR"/>
              </w:rPr>
            </w:pPr>
            <w:r>
              <w:rPr>
                <w:lang w:val="fr-FR"/>
              </w:rPr>
              <w:t>Octave</w:t>
            </w:r>
          </w:p>
          <w:p>
            <w:pPr>
              <w:pStyle w:val="T4dispositie"/>
              <w:rPr>
                <w:lang w:val="fr-FR"/>
              </w:rPr>
            </w:pPr>
            <w:r>
              <w:rPr>
                <w:lang w:val="fr-FR"/>
              </w:rPr>
              <w:t>Rohrflöte</w:t>
            </w:r>
          </w:p>
          <w:p>
            <w:pPr>
              <w:pStyle w:val="T4dispositie"/>
              <w:rPr>
                <w:lang w:val="fr-FR"/>
              </w:rPr>
            </w:pPr>
            <w:r>
              <w:rPr>
                <w:lang w:val="fr-FR"/>
              </w:rPr>
              <w:t>Quinte</w:t>
            </w:r>
          </w:p>
          <w:p>
            <w:pPr>
              <w:pStyle w:val="T4dispositie"/>
              <w:rPr/>
            </w:pPr>
            <w:r>
              <w:rPr/>
              <w:t>Octave</w:t>
            </w:r>
          </w:p>
          <w:p>
            <w:pPr>
              <w:pStyle w:val="T4dispositie"/>
              <w:rPr/>
            </w:pPr>
            <w:r>
              <w:rPr/>
              <w:t>Mixtur</w:t>
            </w:r>
          </w:p>
          <w:p>
            <w:pPr>
              <w:pStyle w:val="T4dispositie"/>
              <w:rPr/>
            </w:pPr>
            <w:r>
              <w:rPr/>
              <w:t>Trompete</w:t>
            </w:r>
          </w:p>
        </w:tc>
        <w:tc>
          <w:tcPr>
            <w:tcW w:w="751" w:type="dxa"/>
            <w:tcBorders/>
          </w:tcPr>
          <w:p>
            <w:pPr>
              <w:pStyle w:val="T4dispositie"/>
              <w:snapToGrid w:val="false"/>
              <w:rPr/>
            </w:pPr>
            <w:r>
              <w:rPr/>
            </w:r>
          </w:p>
          <w:p>
            <w:pPr>
              <w:pStyle w:val="T4dispositie"/>
              <w:snapToGrid w:val="false"/>
              <w:rPr/>
            </w:pPr>
            <w:r>
              <w:rPr/>
            </w:r>
          </w:p>
          <w:p>
            <w:pPr>
              <w:pStyle w:val="T4dispositie"/>
              <w:snapToGrid w:val="fals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4 st.</w:t>
            </w:r>
          </w:p>
          <w:p>
            <w:pPr>
              <w:pStyle w:val="T4dispositie"/>
              <w:rPr>
                <w:lang w:val="nl-NL"/>
              </w:rPr>
            </w:pPr>
            <w:r>
              <w:rPr>
                <w:lang w:val="nl-NL"/>
              </w:rPr>
              <w:t>8</w:t>
            </w:r>
            <w:r>
              <w:rPr/>
              <w:t>'</w:t>
            </w:r>
          </w:p>
        </w:tc>
        <w:tc>
          <w:tcPr>
            <w:tcW w:w="1131" w:type="dxa"/>
            <w:tcBorders/>
          </w:tcPr>
          <w:p>
            <w:pPr>
              <w:pStyle w:val="T4dispositie"/>
              <w:snapToGrid w:val="false"/>
              <w:rPr>
                <w:i/>
                <w:i/>
                <w:iCs/>
                <w:lang w:val="nl-NL"/>
              </w:rPr>
            </w:pPr>
            <w:r>
              <w:rPr>
                <w:i/>
                <w:iCs/>
                <w:lang w:val="nl-NL"/>
              </w:rPr>
              <w:t>Pedaal</w:t>
            </w:r>
          </w:p>
          <w:p>
            <w:pPr>
              <w:pStyle w:val="T4dispositie"/>
              <w:snapToGrid w:val="false"/>
              <w:rPr>
                <w:lang w:val="nl-NL"/>
              </w:rPr>
            </w:pPr>
            <w:r>
              <w:rPr>
                <w:lang w:val="nl-NL"/>
              </w:rPr>
              <w:t>1 stem</w:t>
            </w:r>
          </w:p>
          <w:p>
            <w:pPr>
              <w:pStyle w:val="T4dispositie"/>
              <w:snapToGrid w:val="false"/>
              <w:rPr>
                <w:i/>
                <w:i/>
                <w:iCs/>
                <w:lang w:val="nl-NL"/>
              </w:rPr>
            </w:pPr>
            <w:r>
              <w:rPr>
                <w:i/>
                <w:iCs/>
                <w:lang w:val="nl-NL"/>
              </w:rPr>
            </w:r>
          </w:p>
          <w:p>
            <w:pPr>
              <w:pStyle w:val="T4dispositie"/>
              <w:snapToGrid w:val="false"/>
              <w:rPr>
                <w:lang w:val="nl-NL"/>
              </w:rPr>
            </w:pPr>
            <w:r>
              <w:rPr>
                <w:lang w:val="nl-NL"/>
              </w:rPr>
              <w:t>Quintadeen</w:t>
            </w:r>
          </w:p>
        </w:tc>
        <w:tc>
          <w:tcPr>
            <w:tcW w:w="823"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pedalkoppel</w:t>
      </w:r>
    </w:p>
    <w:p>
      <w:pPr>
        <w:pStyle w:val="T1"/>
        <w:jc w:val="start"/>
        <w:rPr>
          <w:lang w:val="nl-NL"/>
        </w:rPr>
      </w:pPr>
      <w:r>
        <w:rPr>
          <w:lang w:val="nl-NL"/>
        </w:rPr>
      </w:r>
    </w:p>
    <w:p>
      <w:pPr>
        <w:pStyle w:val="T1"/>
        <w:jc w:val="start"/>
        <w:rPr>
          <w:lang w:val="nl-NL"/>
        </w:rPr>
      </w:pPr>
      <w:r>
        <w:rPr>
          <w:lang w:val="nl-NL"/>
        </w:rPr>
        <w:t>Samenstelling vulstem</w:t>
      </w:r>
    </w:p>
    <w:tbl>
      <w:tblPr>
        <w:tblW w:w="2389" w:type="dxa"/>
        <w:jc w:val="start"/>
        <w:tblInd w:w="-70" w:type="dxa"/>
        <w:tblLayout w:type="fixed"/>
        <w:tblCellMar>
          <w:top w:w="0" w:type="dxa"/>
          <w:start w:w="70" w:type="dxa"/>
          <w:bottom w:w="0" w:type="dxa"/>
          <w:end w:w="70" w:type="dxa"/>
        </w:tblCellMar>
      </w:tblPr>
      <w:tblGrid>
        <w:gridCol w:w="906"/>
        <w:gridCol w:w="403"/>
        <w:gridCol w:w="360"/>
        <w:gridCol w:w="360"/>
        <w:gridCol w:w="360"/>
      </w:tblGrid>
      <w:tr>
        <w:trPr/>
        <w:tc>
          <w:tcPr>
            <w:tcW w:w="906" w:type="dxa"/>
            <w:tcBorders/>
          </w:tcPr>
          <w:p>
            <w:pPr>
              <w:pStyle w:val="T1"/>
              <w:jc w:val="start"/>
              <w:rPr>
                <w:lang w:val="nl-NL"/>
              </w:rPr>
            </w:pPr>
            <w:r>
              <w:rPr>
                <w:lang w:val="nl-NL"/>
              </w:rPr>
              <w:t>Mixtur</w:t>
            </w:r>
          </w:p>
        </w:tc>
        <w:tc>
          <w:tcPr>
            <w:tcW w:w="403" w:type="dxa"/>
            <w:tcBorders/>
          </w:tcPr>
          <w:p>
            <w:pPr>
              <w:pStyle w:val="T4dispositie"/>
              <w:rPr/>
            </w:pPr>
            <w:r>
              <w:rPr/>
              <w:t>C</w:t>
            </w:r>
          </w:p>
          <w:p>
            <w:pPr>
              <w:pStyle w:val="T4dispositie"/>
              <w:rPr/>
            </w:pPr>
            <w:r>
              <w:rPr/>
              <w:t>9</w:t>
            </w:r>
          </w:p>
          <w:p>
            <w:pPr>
              <w:pStyle w:val="T4dispositie"/>
              <w:rPr/>
            </w:pPr>
            <w:r>
              <w:rPr/>
              <w:t>8</w:t>
            </w:r>
          </w:p>
          <w:p>
            <w:pPr>
              <w:pStyle w:val="T4dispositie"/>
              <w:rPr/>
            </w:pPr>
            <w:r>
              <w:rPr/>
              <w:t>7</w:t>
            </w:r>
          </w:p>
          <w:p>
            <w:pPr>
              <w:pStyle w:val="T4dispositie"/>
              <w:rPr/>
            </w:pPr>
            <w:r>
              <w:rPr/>
              <w:t>6</w:t>
            </w:r>
          </w:p>
        </w:tc>
        <w:tc>
          <w:tcPr>
            <w:tcW w:w="360" w:type="dxa"/>
            <w:tcBorders/>
          </w:tcPr>
          <w:p>
            <w:pPr>
              <w:pStyle w:val="T4dispositie"/>
              <w:snapToGrid w:val="false"/>
              <w:rPr/>
            </w:pPr>
            <w:r>
              <w:rPr/>
            </w:r>
          </w:p>
        </w:tc>
        <w:tc>
          <w:tcPr>
            <w:tcW w:w="360" w:type="dxa"/>
            <w:tcBorders/>
          </w:tcPr>
          <w:p>
            <w:pPr>
              <w:pStyle w:val="T4dispositie"/>
              <w:snapToGrid w:val="false"/>
              <w:rPr/>
            </w:pPr>
            <w:r>
              <w:rPr/>
            </w:r>
          </w:p>
        </w:tc>
        <w:tc>
          <w:tcPr>
            <w:tcW w:w="360" w:type="dxa"/>
            <w:tcBorders/>
          </w:tcPr>
          <w:p>
            <w:pPr>
              <w:pStyle w:val="T4dispositie"/>
              <w:snapToGrid w:val="false"/>
              <w:rPr/>
            </w:pPr>
            <w:r>
              <w:rPr/>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Normal"/>
        <w:rPr>
          <w:rFonts w:ascii="Times New Roman" w:hAnsi="Times New Roman" w:cs="Times New Roman"/>
          <w:i/>
          <w:i/>
          <w:iCs/>
          <w:szCs w:val="24"/>
        </w:rPr>
      </w:pPr>
      <w:r>
        <w:rPr>
          <w:rFonts w:cs="Times New Roman" w:ascii="Times New Roman" w:hAnsi="Times New Roman"/>
          <w:i/>
          <w:iCs/>
          <w:szCs w:val="24"/>
        </w:rPr>
      </w:r>
    </w:p>
    <w:p>
      <w:pPr>
        <w:pStyle w:val="Normal"/>
        <w:rPr/>
      </w:pPr>
      <w:r>
        <w:rPr>
          <w:rFonts w:cs="Times New Roman" w:ascii="Times New Roman" w:hAnsi="Times New Roman"/>
          <w:szCs w:val="24"/>
        </w:rPr>
        <w:t>In de nabijheid van dit orgel bevindt zich nog een continuo-orgel. Dit drie stemmen tellende instrument telt één manuaal (omvang C-d</w:t>
      </w:r>
      <w:r>
        <w:rPr>
          <w:rFonts w:cs="Times New Roman" w:ascii="Times New Roman" w:hAnsi="Times New Roman"/>
          <w:szCs w:val="24"/>
          <w:vertAlign w:val="superscript"/>
        </w:rPr>
        <w:t>3</w:t>
      </w:r>
      <w:r>
        <w:rPr>
          <w:rFonts w:cs="Times New Roman" w:ascii="Times New Roman" w:hAnsi="Times New Roman"/>
          <w:szCs w:val="24"/>
        </w:rPr>
        <w:t>), en heeft geen pedaalklavier. Het orgel heeft opvallende fraai beschilderde luiken en is eveneens in 1967 gebouwd door de fa Metzler. De beschildering van beide orgels werd uitgevoerd door Antonio Frasson (Luzern).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OpenSymbol">
    <w:altName w:val="Arial Unicode MS"/>
    <w:charset w:val="80"/>
    <w:family w:val="auto"/>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432" w:hanging="432"/>
      </w:pPr>
      <w:rPr/>
    </w:lvl>
    <w:lvl w:ilvl="1">
      <w:start w:val="1"/>
      <w:pStyle w:val="Heading2"/>
      <w:numFmt w:val="none"/>
      <w:suff w:val="nothing"/>
      <w:lvlText w:val=""/>
      <w:lvlJc w:val="start"/>
      <w:pPr>
        <w:tabs>
          <w:tab w:val="num" w:pos="0"/>
        </w:tabs>
        <w:ind w:start="576" w:hanging="576"/>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94"/>
        </w:tabs>
        <w:ind w:start="794"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widowControl/>
      <w:suppressAutoHyphens w:val="false"/>
      <w:outlineLvl w:val="2"/>
    </w:pPr>
    <w:rPr>
      <w:rFonts w:ascii="Times New Roman" w:hAnsi="Times New Roman" w:cs="Times New Roman"/>
      <w:b/>
      <w:bCs/>
      <w:sz w:val="20"/>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Standaardalinealettertype1">
    <w:name w:val="Standaardalinea-lettertype1"/>
    <w:qFormat/>
    <w:rPr/>
  </w:style>
  <w:style w:type="character" w:styleId="WWAbsatzStandardschriftart1">
    <w:name w:val="WW-Absatz-Standardschriftart1"/>
    <w:qFormat/>
    <w:rPr/>
  </w:style>
  <w:style w:type="character" w:styleId="WWStandaardalinealettertype">
    <w:name w:val="WW-Standaardalinea-lettertype"/>
    <w:qFormat/>
    <w:rPr/>
  </w:style>
  <w:style w:type="character" w:styleId="Bullets">
    <w:name w:val="Bullets"/>
    <w:qFormat/>
    <w:rPr>
      <w:rFonts w:ascii="OpenSymbol;Times New Roman" w:hAnsi="OpenSymbol;Times New Roman" w:eastAsia="OpenSymbol;Times New Roman" w:cs="OpenSymbol;Times New Roman"/>
    </w:rPr>
  </w:style>
  <w:style w:type="character" w:styleId="InternetLink">
    <w:name w:val="Hyperlink"/>
    <w:rPr>
      <w:color w:val="000080"/>
      <w:u w:val="single"/>
      <w:lang w:val="zxx" w:bidi="zxx"/>
    </w:rPr>
  </w:style>
  <w:style w:type="paragraph" w:styleId="Heading">
    <w:name w:val="Heading"/>
    <w:basedOn w:val="Normal"/>
    <w:next w:val="TextBody"/>
    <w:qFormat/>
    <w:pPr>
      <w:keepNext w:val="true"/>
      <w:spacing w:before="240" w:after="120"/>
    </w:pPr>
    <w:rPr>
      <w:rFonts w:ascii="Arial" w:hAnsi="Arial" w:eastAsia="DejaVu Sans;Times New Roman" w:cs="DejaVu Sans;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structuur1">
    <w:name w:val="Documentstructuur1"/>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allontekst">
    <w:name w:val="Ballontekst"/>
    <w:basedOn w:val="Normal"/>
    <w:qFormat/>
    <w:pPr/>
    <w:rPr>
      <w:rFonts w:ascii="Tahoma" w:hAnsi="Tahoma" w:cs="Tahoma"/>
      <w:sz w:val="16"/>
      <w:szCs w:val="16"/>
    </w:rPr>
  </w:style>
  <w:style w:type="paragraph" w:styleId="Documentstructuur">
    <w:name w:val="Documentstructuur"/>
    <w:basedOn w:val="Normal"/>
    <w:qFormat/>
    <w:pPr>
      <w:shd w:fill="000080" w:val="clear"/>
    </w:pPr>
    <w:rPr>
      <w:rFonts w:ascii="Tahoma" w:hAnsi="Tahoma" w:cs="Tahoma"/>
      <w:sz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2010-03-23T16:41:00Z</dcterms:created>
  <dc:creator>WS1</dc:creator>
  <dc:description/>
  <dc:language>en-US</dc:language>
  <cp:lastModifiedBy>Hans Steketee</cp:lastModifiedBy>
  <dcterms:modified xsi:type="dcterms:W3CDTF">2010-03-23T19:00:00Z</dcterms:modified>
  <cp:revision>3</cp:revision>
  <dc:subject/>
  <dc:title>Gaast / 1860</dc:title>
</cp:coreProperties>
</file>