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t>
      </w:r>
      <w:r>
        <w:rPr/>
        <w:t>s-Gravenhage / 1967</w:t>
      </w:r>
    </w:p>
    <w:p>
      <w:pPr>
        <w:pStyle w:val="Heading2"/>
        <w:rPr/>
      </w:pPr>
      <w:r>
        <w:rPr>
          <w:rFonts w:cs="Arial"/>
          <w:i w:val="false"/>
        </w:rPr>
        <w:t>Chinese Evangelical Mission Europe (CEME),</w:t>
      </w:r>
      <w:r>
        <w:rPr>
          <w:rFonts w:cs="Arial"/>
        </w:rPr>
        <w:t xml:space="preserve"> </w:t>
      </w:r>
      <w:r>
        <w:rPr>
          <w:i w:val="false"/>
          <w:iCs/>
        </w:rPr>
        <w:t>voormalige Gereformeerde Laakkerk</w:t>
      </w:r>
      <w:r>
        <w:rPr>
          <w:rFonts w:cs="Arial"/>
        </w:rPr>
        <w:t xml:space="preserve"> </w:t>
      </w:r>
    </w:p>
    <w:p>
      <w:pPr>
        <w:pStyle w:val="Normal"/>
        <w:rPr>
          <w:rFonts w:ascii="Times New Roman" w:hAnsi="Times New Roman" w:cs="Times New Roman"/>
          <w:i/>
          <w:i/>
        </w:rPr>
      </w:pPr>
      <w:r>
        <w:rPr>
          <w:rFonts w:cs="Times New Roman" w:ascii="Times New Roman" w:hAnsi="Times New Roman"/>
          <w:i/>
        </w:rPr>
      </w:r>
    </w:p>
    <w:p>
      <w:pPr>
        <w:pStyle w:val="Normal"/>
        <w:rPr>
          <w:rFonts w:ascii="Times New Roman" w:hAnsi="Times New Roman" w:cs="Times New Roman"/>
          <w:i/>
          <w:i/>
        </w:rPr>
      </w:pPr>
      <w:r>
        <w:rPr>
          <w:rFonts w:cs="Times New Roman" w:ascii="Times New Roman" w:hAnsi="Times New Roman"/>
          <w:i/>
        </w:rPr>
        <w:t>Ruime en hoge zaalkerk uit 1966/67, gebouwd naar ontwerp van F.G. van Hoeken. Het gebouw is opgetrokken in een lichte baksteen op een nagenoeg vierkante plattegrond met deels inpandige toren waarvan het bovenste gedeelte, bij wijze van spits, zich naar de top aan één zijde versmalt. Het rijzige kerkgebouw en de toren dienen als baken in de dicht bebouwde, uit het interbellum daterende wijk. Sober bakstenen interieur met aan drie zijden tribunes.</w:t>
      </w:r>
    </w:p>
    <w:p>
      <w:pPr>
        <w:pStyle w:val="Normal"/>
        <w:rPr>
          <w:rFonts w:ascii="Times New Roman" w:hAnsi="Times New Roman" w:cs="Times New Roman"/>
          <w:i/>
          <w:i/>
        </w:rPr>
      </w:pPr>
      <w:r>
        <w:rPr>
          <w:rFonts w:cs="Times New Roman" w:ascii="Times New Roman" w:hAnsi="Times New Roman"/>
          <w:i/>
        </w:rPr>
        <w:t>Door het naar achteren oplopende dak blijft er boven de voorzijde van de achtertribune genoeg ruimte over voor een raampartij over de volle breedte die veel licht binnenlaat</w:t>
      </w:r>
    </w:p>
    <w:p>
      <w:pPr>
        <w:pStyle w:val="Normal"/>
        <w:rPr>
          <w:rFonts w:ascii="Times New Roman" w:hAnsi="Times New Roman" w:cs="Times New Roman"/>
          <w:i/>
          <w:i/>
        </w:rPr>
      </w:pPr>
      <w:r>
        <w:rPr>
          <w:rFonts w:cs="Times New Roman" w:ascii="Times New Roman" w:hAnsi="Times New Roman"/>
          <w:i/>
        </w:rPr>
        <w:t>Het liturgisch centrum vangt extra licht door een raam ter linker zijde. Op de rechter tribune bevindt zich, dicht bij het liturgisch centrum, het orgel.</w:t>
      </w:r>
    </w:p>
    <w:p>
      <w:pPr>
        <w:pStyle w:val="Normal"/>
        <w:rPr>
          <w:rFonts w:ascii="Times New Roman" w:hAnsi="Times New Roman" w:cs="Times New Roman"/>
          <w:i/>
          <w:i/>
        </w:rPr>
      </w:pPr>
      <w:r>
        <w:rPr>
          <w:rFonts w:cs="Times New Roman" w:ascii="Times New Roman" w:hAnsi="Times New Roman"/>
          <w:i/>
        </w:rPr>
      </w:r>
    </w:p>
    <w:p>
      <w:pPr>
        <w:pStyle w:val="T1"/>
        <w:jc w:val="start"/>
        <w:rPr>
          <w:lang w:val="nl-NL"/>
        </w:rPr>
      </w:pPr>
      <w:r>
        <w:rPr>
          <w:lang w:val="nl-NL"/>
        </w:rPr>
        <w:t>Kas: 1967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bCs/>
          <w:szCs w:val="24"/>
          <w:lang w:val="nl-NL"/>
        </w:rPr>
        <w:t>Het front en de kassen van dit orgel zijn ontworpen in nauw overleg met architect Ir F.G. van Hoeken.</w:t>
      </w:r>
      <w:r>
        <w:rPr>
          <w:lang w:val="nl-NL"/>
        </w:rPr>
        <w:t xml:space="preserve"> Hoofdwerk en rugpositief zijn voorzien van onder een helling van ca 15º ten opzichte van de loodlijn aangebrachte linker zijwanden en, in een rechte hoek daarop aangebracht naar rechts aflopend daken. De rechter zijwanden staan loodrecht op het grondvlak. Rechts van het hoofdwerk bevindt zich het pedaal dat in het horizontale vlak een stompe hoek daarmee maakt. In verticaal opzicht verlopen het linker gedeelte van het boven het hoofdwerk uitstekende deel van de pedaalkas en de onderwand rechts van het pedaal nagenoeg parallel aan de linkerzijwanden van hoofdwerk en rugpositief. De voorzijde van de linker zijwand staat loodrecht op het horizontale vlak en grenst aan de rechter zijwand van het hoofdwerk. Het deel van de rechter zijwand naast de pijpen staat eveneens loodrecht op het grondvlak. De top van de pedaalkas is licht afgeknot doordat hier de linker zijwand in een hoek naar links verloopt.</w:t>
      </w:r>
    </w:p>
    <w:p>
      <w:pPr>
        <w:pStyle w:val="T2Kunst"/>
        <w:jc w:val="start"/>
        <w:rPr/>
      </w:pPr>
      <w:r>
        <w:rPr>
          <w:lang w:val="nl-NL"/>
        </w:rPr>
        <w:t>Bij het hoofdwerk en het rugpositief zijn de frontpijpen van links naar rechts opgesteld in vier groepen van zes in tertsopstelling staande pijpen, bij het hoofdwerk C-h van de Prestant</w:t>
      </w:r>
      <w:r>
        <w:rPr>
          <w:lang w:val="nl-NL"/>
        </w:rPr>
        <w:t> </w:t>
      </w:r>
      <w:r>
        <w:rPr>
          <w:lang w:val="nl-NL"/>
        </w:rPr>
        <w:t>8'. Bij het rugpositief C-h van de Prestant</w:t>
      </w:r>
      <w:r>
        <w:rPr>
          <w:lang w:val="nl-NL"/>
        </w:rPr>
        <w:t> </w:t>
      </w:r>
      <w:r>
        <w:rPr>
          <w:lang w:val="nl-NL"/>
        </w:rPr>
        <w:t>4'. Het pedaal vormt hierbij een tegenbeweging met twee groepen van zes van rechts naar links in tertsligging opgestelde pijpen (C-H van de Prestant</w:t>
      </w:r>
      <w:r>
        <w:rPr>
          <w:lang w:val="nl-NL"/>
        </w:rPr>
        <w:t> </w:t>
      </w:r>
      <w:r>
        <w:rPr>
          <w:lang w:val="nl-NL"/>
        </w:rPr>
        <w:t>8').</w:t>
      </w:r>
    </w:p>
    <w:p>
      <w:pPr>
        <w:pStyle w:val="T2Kunst"/>
        <w:jc w:val="start"/>
        <w:rPr>
          <w:lang w:val="nl-NL"/>
        </w:rPr>
      </w:pPr>
      <w:r>
        <w:rPr>
          <w:lang w:val="nl-NL"/>
        </w:rPr>
        <w:t>De frontpijpen van het Hoofdwerk en het Pedaal hebben opgesoldeerde labia, boven spits, onder rond. De labia van het Rugpositief hebben dezelfde vormgeving, maar dan geritst.</w:t>
      </w:r>
    </w:p>
    <w:p>
      <w:pPr>
        <w:pStyle w:val="T3Li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i/>
          <w:lang w:val="nl-NL"/>
        </w:rPr>
        <w:t xml:space="preserve">Orgelnieuws Fa. L. Verschueren C.V. </w:t>
      </w:r>
      <w:r>
        <w:rPr>
          <w:lang w:val="nl-NL"/>
        </w:rPr>
        <w:t>Heythuysen, juni 1967.</w:t>
      </w:r>
    </w:p>
    <w:p>
      <w:pPr>
        <w:pStyle w:val="T3Lit"/>
        <w:jc w:val="start"/>
        <w:rPr/>
      </w:pPr>
      <w:r>
        <w:rPr>
          <w:i/>
          <w:lang w:val="nl-NL"/>
        </w:rPr>
        <w:t>De Orgelvriend</w:t>
      </w:r>
      <w:r>
        <w:rPr>
          <w:lang w:val="nl-NL"/>
        </w:rPr>
        <w:t>, 9/7 (1967), 11; 10/10 (1968), 1-2.</w:t>
      </w:r>
    </w:p>
    <w:p>
      <w:pPr>
        <w:pStyle w:val="T3Lit"/>
        <w:jc w:val="start"/>
        <w:rPr/>
      </w:pPr>
      <w:r>
        <w:rPr>
          <w:i/>
          <w:lang w:val="nl-NL"/>
        </w:rPr>
        <w:t>De Praestant</w:t>
      </w:r>
      <w:r>
        <w:rPr>
          <w:lang w:val="nl-NL"/>
        </w:rPr>
        <w:t>, 16/3 (1967), ..</w:t>
      </w:r>
    </w:p>
    <w:p>
      <w:pPr>
        <w:pStyle w:val="T3Lit"/>
        <w:jc w:val="start"/>
        <w:rPr>
          <w:i/>
          <w:i/>
          <w:lang w:val="nl-NL"/>
        </w:rPr>
      </w:pPr>
      <w:r>
        <w:rPr>
          <w:i/>
          <w:lang w:val="nl-NL"/>
        </w:rPr>
        <w:t>Uitnodiging tot het bijwonen van de ingebruikneming van het orgel in de Laakkerk aan de Isingstraat te ’s-Gravenhage op dinsdag 20 juni 1967 des avonds om 8 uur.</w:t>
      </w:r>
    </w:p>
    <w:p>
      <w:pPr>
        <w:pStyle w:val="T3Lit"/>
        <w:jc w:val="start"/>
        <w:rPr>
          <w:i/>
          <w:i/>
          <w:lang w:val="nl-NL"/>
        </w:rPr>
      </w:pPr>
      <w:r>
        <w:rPr>
          <w:i/>
          <w:lang w:val="nl-NL"/>
        </w:rPr>
      </w:r>
    </w:p>
    <w:p>
      <w:pPr>
        <w:pStyle w:val="T3Lit"/>
        <w:jc w:val="start"/>
        <w:rPr>
          <w:lang w:val="nl-NL"/>
        </w:rPr>
      </w:pPr>
      <w:r>
        <w:rPr>
          <w:b/>
          <w:lang w:val="nl-NL"/>
        </w:rPr>
        <w:t>Niet gepubliceerde bron</w:t>
      </w:r>
    </w:p>
    <w:p>
      <w:pPr>
        <w:pStyle w:val="T3Lit"/>
        <w:jc w:val="start"/>
        <w:rPr>
          <w:lang w:val="nl-NL"/>
        </w:rPr>
      </w:pPr>
      <w:r>
        <w:rPr>
          <w:lang w:val="nl-NL"/>
        </w:rPr>
        <w:t>Archief Verschueren Orgelbouw.</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Verschueren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1967</w:t>
      </w:r>
    </w:p>
    <w:p>
      <w:pPr>
        <w:pStyle w:val="T1"/>
        <w:jc w:val="start"/>
        <w:rPr>
          <w:lang w:val="nl-NL"/>
        </w:rPr>
      </w:pPr>
      <w:r>
        <w:rPr>
          <w:lang w:val="nl-NL"/>
        </w:rPr>
      </w:r>
    </w:p>
    <w:p>
      <w:pPr>
        <w:pStyle w:val="T1"/>
        <w:jc w:val="start"/>
        <w:rPr>
          <w:lang w:val="nl-NL"/>
        </w:rPr>
      </w:pPr>
      <w:r>
        <w:rPr>
          <w:lang w:val="nl-NL"/>
        </w:rPr>
        <w:t>2000</w:t>
      </w:r>
    </w:p>
    <w:p>
      <w:pPr>
        <w:pStyle w:val="T1"/>
        <w:jc w:val="start"/>
        <w:rPr>
          <w:lang w:val="nl-NL"/>
        </w:rPr>
      </w:pPr>
      <w:r>
        <w:rPr>
          <w:lang w:val="nl-NL"/>
        </w:rPr>
        <w:t>.</w:t>
        <w:tab/>
        <w:t>kerkgebouw aan eredienst onttrokken</w:t>
      </w:r>
    </w:p>
    <w:p>
      <w:pPr>
        <w:pStyle w:val="T1"/>
        <w:jc w:val="start"/>
        <w:rPr>
          <w:lang w:val="nl-NL"/>
        </w:rPr>
      </w:pPr>
      <w:r>
        <w:rPr>
          <w:lang w:val="nl-NL"/>
        </w:rPr>
      </w:r>
    </w:p>
    <w:p>
      <w:pPr>
        <w:pStyle w:val="T1"/>
        <w:jc w:val="start"/>
        <w:rPr>
          <w:lang w:val="nl-NL"/>
        </w:rPr>
      </w:pPr>
      <w:r>
        <w:rPr>
          <w:lang w:val="nl-NL"/>
        </w:rPr>
        <w:t>2002</w:t>
      </w:r>
    </w:p>
    <w:p>
      <w:pPr>
        <w:pStyle w:val="T1"/>
        <w:jc w:val="start"/>
        <w:rPr>
          <w:lang w:val="nl-NL"/>
        </w:rPr>
      </w:pPr>
      <w:r>
        <w:rPr>
          <w:lang w:val="nl-NL"/>
        </w:rPr>
        <w:t>.</w:t>
        <w:tab/>
        <w:t>kerkgebouw in gebruik bij Chinese Evangelisatiegemeenschap</w:t>
      </w:r>
    </w:p>
    <w:p>
      <w:pPr>
        <w:pStyle w:val="T1"/>
        <w:jc w:val="start"/>
        <w:rPr>
          <w:lang w:val="nl-NL"/>
        </w:rPr>
      </w:pPr>
      <w:r>
        <w:rPr>
          <w:lang w:val="nl-NL"/>
        </w:rPr>
        <w:t>.</w:t>
        <w:tab/>
        <w:t>vermoedelijk bij die gelegenheid orgelkassen paars geverfd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 xml:space="preserve">Dispositie </w:t>
      </w:r>
    </w:p>
    <w:tbl>
      <w:tblPr>
        <w:tblW w:w="7450" w:type="dxa"/>
        <w:jc w:val="start"/>
        <w:tblInd w:w="-70" w:type="dxa"/>
        <w:tblLayout w:type="fixed"/>
        <w:tblCellMar>
          <w:top w:w="0" w:type="dxa"/>
          <w:start w:w="70" w:type="dxa"/>
          <w:bottom w:w="0" w:type="dxa"/>
          <w:end w:w="70" w:type="dxa"/>
        </w:tblCellMar>
      </w:tblPr>
      <w:tblGrid>
        <w:gridCol w:w="1510"/>
        <w:gridCol w:w="900"/>
        <w:gridCol w:w="1620"/>
        <w:gridCol w:w="900"/>
        <w:gridCol w:w="1567"/>
        <w:gridCol w:w="953"/>
      </w:tblGrid>
      <w:tr>
        <w:trPr/>
        <w:tc>
          <w:tcPr>
            <w:tcW w:w="1510" w:type="dxa"/>
            <w:tcBorders/>
          </w:tcPr>
          <w:p>
            <w:pPr>
              <w:pStyle w:val="T4dispositie"/>
              <w:jc w:val="start"/>
              <w:rPr>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Spitsgamba</w:t>
            </w:r>
          </w:p>
          <w:p>
            <w:pPr>
              <w:pStyle w:val="T4dispositie"/>
              <w:jc w:val="start"/>
              <w:rPr>
                <w:lang w:val="nl-NL"/>
              </w:rPr>
            </w:pPr>
            <w:r>
              <w:rPr>
                <w:lang w:val="nl-NL"/>
              </w:rPr>
              <w:t>Octaaf</w:t>
            </w:r>
          </w:p>
          <w:p>
            <w:pPr>
              <w:pStyle w:val="T4dispositie"/>
              <w:jc w:val="start"/>
              <w:rPr>
                <w:lang w:val="nl-NL"/>
              </w:rPr>
            </w:pPr>
            <w:r>
              <w:rPr>
                <w:lang w:val="nl-NL"/>
              </w:rPr>
              <w:t>Spitsfluit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5 st.</w:t>
            </w:r>
          </w:p>
          <w:p>
            <w:pPr>
              <w:pStyle w:val="T4dispositie"/>
              <w:jc w:val="start"/>
              <w:rPr>
                <w:lang w:val="nl-NL"/>
              </w:rPr>
            </w:pPr>
            <w:r>
              <w:rPr>
                <w:lang w:val="nl-NL"/>
              </w:rPr>
              <w:t>4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Rugpositief (II)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Gedekt</w:t>
            </w:r>
          </w:p>
          <w:p>
            <w:pPr>
              <w:pStyle w:val="T4dispositie"/>
              <w:jc w:val="start"/>
              <w:rPr>
                <w:lang w:val="nl-NL"/>
              </w:rPr>
            </w:pPr>
            <w:r>
              <w:rPr>
                <w:lang w:val="nl-NL"/>
              </w:rPr>
              <w:t>Quintadeen</w:t>
            </w:r>
          </w:p>
          <w:p>
            <w:pPr>
              <w:pStyle w:val="T4dispositie"/>
              <w:jc w:val="start"/>
              <w:rPr>
                <w:lang w:val="nl-NL"/>
              </w:rPr>
            </w:pPr>
            <w:r>
              <w:rPr>
                <w:lang w:val="nl-NL"/>
              </w:rPr>
              <w:t>Prestant</w:t>
            </w:r>
          </w:p>
          <w:p>
            <w:pPr>
              <w:pStyle w:val="T4dispositie"/>
              <w:jc w:val="start"/>
              <w:rPr>
                <w:lang w:val="nl-NL"/>
              </w:rPr>
            </w:pPr>
            <w:r>
              <w:rPr>
                <w:lang w:val="nl-NL"/>
              </w:rPr>
              <w:t>Gemshoorn</w:t>
            </w:r>
          </w:p>
          <w:p>
            <w:pPr>
              <w:pStyle w:val="T4dispositie"/>
              <w:jc w:val="start"/>
              <w:rPr>
                <w:lang w:val="nl-NL"/>
              </w:rPr>
            </w:pPr>
            <w:r>
              <w:rPr>
                <w:lang w:val="nl-NL"/>
              </w:rPr>
              <w:t>Vlakfluit</w:t>
            </w:r>
          </w:p>
          <w:p>
            <w:pPr>
              <w:pStyle w:val="T4dispositie"/>
              <w:jc w:val="start"/>
              <w:rPr>
                <w:lang w:val="nl-NL"/>
              </w:rPr>
            </w:pPr>
            <w:r>
              <w:rPr>
                <w:lang w:val="nl-NL"/>
              </w:rPr>
              <w:t>Sesquialtera</w:t>
            </w:r>
          </w:p>
          <w:p>
            <w:pPr>
              <w:pStyle w:val="T4dispositie"/>
              <w:jc w:val="start"/>
              <w:rPr>
                <w:lang w:val="nl-NL"/>
              </w:rPr>
            </w:pPr>
            <w:r>
              <w:rPr>
                <w:lang w:val="nl-NL"/>
              </w:rPr>
              <w:t>Scherp</w:t>
            </w:r>
          </w:p>
          <w:p>
            <w:pPr>
              <w:pStyle w:val="T4dispositie"/>
              <w:jc w:val="start"/>
              <w:rPr>
                <w:lang w:val="nl-NL"/>
              </w:rPr>
            </w:pPr>
            <w:r>
              <w:rPr>
                <w:lang w:val="nl-NL"/>
              </w:rPr>
              <w:t>Dulciaan</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4-5 st.</w:t>
            </w:r>
          </w:p>
          <w:p>
            <w:pPr>
              <w:pStyle w:val="T4dispositie"/>
              <w:jc w:val="start"/>
              <w:rPr>
                <w:lang w:val="nl-NL"/>
              </w:rPr>
            </w:pPr>
            <w:r>
              <w:rPr>
                <w:lang w:val="nl-NL"/>
              </w:rPr>
              <w:t>8'</w:t>
            </w:r>
          </w:p>
        </w:tc>
        <w:tc>
          <w:tcPr>
            <w:tcW w:w="1567" w:type="dxa"/>
            <w:tcBorders/>
          </w:tcPr>
          <w:p>
            <w:pPr>
              <w:pStyle w:val="T4dispositie"/>
              <w:jc w:val="start"/>
              <w:rPr>
                <w:i/>
                <w:i/>
                <w:iCs/>
                <w:lang w:val="nl-NL"/>
              </w:rPr>
            </w:pPr>
            <w:r>
              <w:rPr>
                <w:i/>
                <w:iCs/>
                <w:lang w:val="nl-NL"/>
              </w:rPr>
              <w:t>Pedaal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Gedekt</w:t>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Fagot</w:t>
            </w:r>
          </w:p>
          <w:p>
            <w:pPr>
              <w:pStyle w:val="T4dispositie"/>
              <w:jc w:val="start"/>
              <w:rPr>
                <w:lang w:val="nl-NL"/>
              </w:rPr>
            </w:pPr>
            <w:r>
              <w:rPr>
                <w:lang w:val="nl-NL"/>
              </w:rPr>
              <w:t>Klaroen</w:t>
            </w:r>
          </w:p>
        </w:tc>
        <w:tc>
          <w:tcPr>
            <w:tcW w:w="95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 st.</w:t>
            </w:r>
          </w:p>
          <w:p>
            <w:pPr>
              <w:pStyle w:val="T4dispositie"/>
              <w:jc w:val="start"/>
              <w:rPr>
                <w:lang w:val="nl-NL"/>
              </w:rPr>
            </w:pPr>
            <w:r>
              <w:rPr>
                <w:lang w:val="nl-NL"/>
              </w:rPr>
              <w:t>16'</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szCs w:val="24"/>
          <w:lang w:val="nl-NL"/>
        </w:rPr>
      </w:pPr>
      <w:r>
        <w:rPr>
          <w:lang w:val="nl-NL"/>
        </w:rPr>
        <w:t>Werktuiglijke registers</w:t>
      </w:r>
    </w:p>
    <w:p>
      <w:pPr>
        <w:pStyle w:val="Normal"/>
        <w:rPr>
          <w:rFonts w:ascii="Times New Roman" w:hAnsi="Times New Roman" w:cs="Times New Roman"/>
          <w:szCs w:val="24"/>
        </w:rPr>
      </w:pPr>
      <w:r>
        <w:rPr>
          <w:rFonts w:cs="Times New Roman" w:ascii="Times New Roman" w:hAnsi="Times New Roman"/>
          <w:szCs w:val="24"/>
        </w:rPr>
        <w:t>koppelingen HW-RP, Ped-HW, Ped-RP</w:t>
      </w:r>
    </w:p>
    <w:p>
      <w:pPr>
        <w:pStyle w:val="T1"/>
        <w:jc w:val="start"/>
        <w:rPr>
          <w:szCs w:val="24"/>
          <w:lang w:val="nl-NL"/>
        </w:rPr>
      </w:pPr>
      <w:r>
        <w:rPr>
          <w:szCs w:val="24"/>
          <w:lang w:val="nl-NL"/>
        </w:rPr>
        <w:t>tremolo HW, tremolo RP</w:t>
      </w:r>
    </w:p>
    <w:p>
      <w:pPr>
        <w:pStyle w:val="T1"/>
        <w:jc w:val="start"/>
        <w:rPr>
          <w:szCs w:val="24"/>
          <w:lang w:val="nl-NL"/>
        </w:rPr>
      </w:pPr>
      <w:r>
        <w:rPr>
          <w:szCs w:val="24"/>
          <w:lang w:val="nl-NL"/>
        </w:rPr>
        <w:t>calcant</w:t>
      </w:r>
    </w:p>
    <w:p>
      <w:pPr>
        <w:pStyle w:val="T1"/>
        <w:jc w:val="start"/>
        <w:rPr>
          <w:szCs w:val="24"/>
          <w:lang w:val="nl-NL"/>
        </w:rPr>
      </w:pPr>
      <w:r>
        <w:rPr>
          <w:szCs w:val="24"/>
          <w:lang w:val="nl-NL"/>
        </w:rPr>
      </w:r>
    </w:p>
    <w:p>
      <w:pPr>
        <w:pStyle w:val="T1"/>
        <w:jc w:val="start"/>
        <w:rPr>
          <w:szCs w:val="24"/>
          <w:lang w:val="nl-NL"/>
        </w:rPr>
      </w:pPr>
      <w:r>
        <w:rPr>
          <w:szCs w:val="24"/>
          <w:lang w:val="nl-NL"/>
        </w:rPr>
        <w:t>Samenstelling vulstemmen</w:t>
      </w:r>
    </w:p>
    <w:tbl>
      <w:tblPr>
        <w:tblW w:w="4874" w:type="dxa"/>
        <w:jc w:val="start"/>
        <w:tblInd w:w="-70" w:type="dxa"/>
        <w:tblLayout w:type="fixed"/>
        <w:tblCellMar>
          <w:top w:w="0" w:type="dxa"/>
          <w:start w:w="70" w:type="dxa"/>
          <w:bottom w:w="0" w:type="dxa"/>
          <w:end w:w="70" w:type="dxa"/>
        </w:tblCellMar>
      </w:tblPr>
      <w:tblGrid>
        <w:gridCol w:w="1510"/>
        <w:gridCol w:w="540"/>
        <w:gridCol w:w="583"/>
        <w:gridCol w:w="747"/>
        <w:gridCol w:w="747"/>
        <w:gridCol w:w="747"/>
      </w:tblGrid>
      <w:tr>
        <w:trPr/>
        <w:tc>
          <w:tcPr>
            <w:tcW w:w="1510"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54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583"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47"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c>
          <w:tcPr>
            <w:tcW w:w="747" w:type="dxa"/>
            <w:tcBorders/>
          </w:tcPr>
          <w:p>
            <w:pPr>
              <w:pStyle w:val="T4dispositie"/>
              <w:rPr>
                <w:lang w:val="nl-NL"/>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Cornet HW    </w:t>
      </w:r>
      <w:r>
        <w:rPr>
          <w:rFonts w:cs="Times New Roman" w:ascii="Times New Roman" w:hAnsi="Times New Roman"/>
          <w:sz w:val="20"/>
        </w:rPr>
        <w:t>c</w:t>
      </w:r>
      <w:r>
        <w:rPr>
          <w:rFonts w:cs="Times New Roman" w:ascii="Times New Roman" w:hAnsi="Times New Roman"/>
          <w:sz w:val="20"/>
          <w:vertAlign w:val="superscript"/>
        </w:rPr>
        <w:t>1</w:t>
      </w:r>
      <w:r>
        <w:rPr>
          <w:rFonts w:cs="Times New Roman" w:ascii="Times New Roman" w:hAnsi="Times New Roman"/>
          <w:sz w:val="20"/>
        </w:rPr>
        <w:t xml:space="preserve">   4 - 2 2/3 - 2 - 1 3/5</w:t>
      </w:r>
    </w:p>
    <w:p>
      <w:pPr>
        <w:pStyle w:val="Normal"/>
        <w:rPr>
          <w:rFonts w:ascii="Times New Roman" w:hAnsi="Times New Roman" w:cs="Times New Roman"/>
          <w:szCs w:val="24"/>
        </w:rPr>
      </w:pPr>
      <w:r>
        <w:rPr>
          <w:rFonts w:cs="Times New Roman" w:ascii="Times New Roman" w:hAnsi="Times New Roman"/>
          <w:szCs w:val="24"/>
        </w:rPr>
      </w:r>
    </w:p>
    <w:tbl>
      <w:tblPr>
        <w:tblW w:w="3130" w:type="dxa"/>
        <w:jc w:val="start"/>
        <w:tblInd w:w="-70" w:type="dxa"/>
        <w:tblLayout w:type="fixed"/>
        <w:tblCellMar>
          <w:top w:w="0" w:type="dxa"/>
          <w:start w:w="70" w:type="dxa"/>
          <w:bottom w:w="0" w:type="dxa"/>
          <w:end w:w="70" w:type="dxa"/>
        </w:tblCellMar>
      </w:tblPr>
      <w:tblGrid>
        <w:gridCol w:w="1690"/>
        <w:gridCol w:w="72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Sesquialtera RP</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Normal"/>
        <w:rPr>
          <w:rFonts w:ascii="Times New Roman" w:hAnsi="Times New Roman" w:cs="Times New Roman"/>
          <w:szCs w:val="24"/>
        </w:rPr>
      </w:pPr>
      <w:r>
        <w:rPr>
          <w:rFonts w:cs="Times New Roman" w:ascii="Times New Roman" w:hAnsi="Times New Roman"/>
          <w:szCs w:val="24"/>
        </w:rPr>
      </w:r>
    </w:p>
    <w:tbl>
      <w:tblPr>
        <w:tblW w:w="5621" w:type="dxa"/>
        <w:jc w:val="start"/>
        <w:tblInd w:w="-70" w:type="dxa"/>
        <w:tblLayout w:type="fixed"/>
        <w:tblCellMar>
          <w:top w:w="0" w:type="dxa"/>
          <w:start w:w="70" w:type="dxa"/>
          <w:bottom w:w="0" w:type="dxa"/>
          <w:end w:w="70" w:type="dxa"/>
        </w:tblCellMar>
      </w:tblPr>
      <w:tblGrid>
        <w:gridCol w:w="1510"/>
        <w:gridCol w:w="540"/>
        <w:gridCol w:w="583"/>
        <w:gridCol w:w="747"/>
        <w:gridCol w:w="747"/>
        <w:gridCol w:w="747"/>
        <w:gridCol w:w="747"/>
      </w:tblGrid>
      <w:tr>
        <w:trPr/>
        <w:tc>
          <w:tcPr>
            <w:tcW w:w="1510" w:type="dxa"/>
            <w:tcBorders/>
          </w:tcPr>
          <w:p>
            <w:pPr>
              <w:pStyle w:val="Normal"/>
              <w:rPr>
                <w:rFonts w:ascii="Times New Roman" w:hAnsi="Times New Roman" w:cs="Times New Roman"/>
                <w:szCs w:val="24"/>
              </w:rPr>
            </w:pPr>
            <w:r>
              <w:rPr>
                <w:rFonts w:cs="Times New Roman" w:ascii="Times New Roman" w:hAnsi="Times New Roman"/>
                <w:szCs w:val="24"/>
              </w:rPr>
              <w:t>Scherp RP</w:t>
            </w:r>
          </w:p>
        </w:tc>
        <w:tc>
          <w:tcPr>
            <w:tcW w:w="540"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583"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47" w:type="dxa"/>
            <w:tcBorders/>
          </w:tcPr>
          <w:p>
            <w:pPr>
              <w:pStyle w:val="T4dispositie"/>
              <w:rPr>
                <w:lang w:val="nl-NL"/>
              </w:rPr>
            </w:pPr>
            <w:r>
              <w:rPr>
                <w:lang w:val="nl-NL"/>
              </w:rPr>
              <w:t>f</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47" w:type="dxa"/>
            <w:tcBorders/>
          </w:tcPr>
          <w:p>
            <w:pPr>
              <w:pStyle w:val="T4dispositie"/>
              <w:rPr/>
            </w:pPr>
            <w:r>
              <w:rPr>
                <w:lang w:val="nl-NL"/>
              </w:rPr>
              <w:t>f</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47" w:type="dxa"/>
            <w:tcBorders/>
          </w:tcPr>
          <w:p>
            <w:pPr>
              <w:pStyle w:val="T4dispositie"/>
              <w:rPr/>
            </w:pPr>
            <w:r>
              <w:rPr>
                <w:lang w:val="nl-NL"/>
              </w:rPr>
              <w:t>f</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lang w:val="nl-NL"/>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tbl>
      <w:tblPr>
        <w:tblW w:w="2633" w:type="dxa"/>
        <w:jc w:val="start"/>
        <w:tblInd w:w="-70" w:type="dxa"/>
        <w:tblLayout w:type="fixed"/>
        <w:tblCellMar>
          <w:top w:w="0" w:type="dxa"/>
          <w:start w:w="70" w:type="dxa"/>
          <w:bottom w:w="0" w:type="dxa"/>
          <w:end w:w="70" w:type="dxa"/>
        </w:tblCellMar>
      </w:tblPr>
      <w:tblGrid>
        <w:gridCol w:w="1510"/>
        <w:gridCol w:w="540"/>
        <w:gridCol w:w="583"/>
      </w:tblGrid>
      <w:tr>
        <w:trPr/>
        <w:tc>
          <w:tcPr>
            <w:tcW w:w="1510" w:type="dxa"/>
            <w:tcBorders/>
          </w:tcPr>
          <w:p>
            <w:pPr>
              <w:pStyle w:val="Normal"/>
              <w:rPr>
                <w:rFonts w:ascii="Times New Roman" w:hAnsi="Times New Roman" w:cs="Times New Roman"/>
                <w:szCs w:val="24"/>
              </w:rPr>
            </w:pPr>
            <w:r>
              <w:rPr>
                <w:rFonts w:cs="Times New Roman" w:ascii="Times New Roman" w:hAnsi="Times New Roman"/>
                <w:szCs w:val="24"/>
              </w:rPr>
              <w:t>Mixtuur Ped</w:t>
            </w:r>
          </w:p>
        </w:tc>
        <w:tc>
          <w:tcPr>
            <w:tcW w:w="54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r>
          </w:p>
        </w:tc>
        <w:tc>
          <w:tcPr>
            <w:tcW w:w="583"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zwembalgen aan de onderzijde van de laden</w:t>
      </w:r>
    </w:p>
    <w:p>
      <w:pPr>
        <w:pStyle w:val="T1"/>
        <w:jc w:val="start"/>
        <w:rPr>
          <w:lang w:val="nl-NL"/>
        </w:rPr>
      </w:pPr>
      <w:r>
        <w:rPr>
          <w:lang w:val="nl-NL"/>
        </w:rPr>
        <w:t>Winddruk</w:t>
      </w:r>
    </w:p>
    <w:p>
      <w:pPr>
        <w:pStyle w:val="T1"/>
        <w:jc w:val="start"/>
        <w:rPr/>
      </w:pPr>
      <w:r>
        <w:rPr/>
        <w:t>HW 70 mm, RP 65 mm, Ped 80 mm</w:t>
      </w:r>
    </w:p>
    <w:p>
      <w:pPr>
        <w:pStyle w:val="T1"/>
        <w:jc w:val="start"/>
        <w:rPr/>
      </w:pPr>
      <w:r>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Normal"/>
        <w:rPr>
          <w:rFonts w:ascii="Times New Roman" w:hAnsi="Times New Roman" w:cs="Times New Roman"/>
        </w:rPr>
      </w:pPr>
      <w:r>
        <w:rPr>
          <w:rFonts w:cs="Times New Roman" w:ascii="Times New Roman" w:hAnsi="Times New Roman"/>
        </w:rPr>
        <w:t>Het orgel is gebouwd als opus 675 van de firma Verschueren onder advies van J.C. Hanegraaff en J.M. Vetter.</w:t>
      </w:r>
    </w:p>
    <w:p>
      <w:pPr>
        <w:pStyle w:val="Normal"/>
        <w:rPr>
          <w:rFonts w:ascii="Times New Roman" w:hAnsi="Times New Roman" w:cs="Times New Roman"/>
        </w:rPr>
      </w:pPr>
      <w:r>
        <w:rPr>
          <w:rFonts w:cs="Times New Roman" w:ascii="Times New Roman" w:hAnsi="Times New Roman"/>
        </w:rPr>
        <w:t>De orgelkassen zijn van mahonie en zijn, op het gedeelte rond de klaviatuur na, paars geverfd. De ondertoetsen van de handklavieren zijn van grenadille; de boventoetsen zijn belegd met ivoor. De registerknoppen zijn van palmhout en voorzien van zwarte kunststof  naamplaatjes met witte opschriften. Het pedaalklavier is van eiken.</w:t>
      </w:r>
    </w:p>
    <w:p>
      <w:pPr>
        <w:pStyle w:val="Normal"/>
        <w:rPr>
          <w:rFonts w:ascii="Times New Roman" w:hAnsi="Times New Roman" w:cs="Times New Roman"/>
        </w:rPr>
      </w:pPr>
      <w:r>
        <w:rPr>
          <w:rFonts w:cs="Times New Roman" w:ascii="Times New Roman" w:hAnsi="Times New Roman"/>
        </w:rPr>
        <w:t>De magazijnbalg is van mahonie met panelen van spaanplaat. De windkanalen zijn van mahonie.</w:t>
      </w:r>
    </w:p>
    <w:p>
      <w:pPr>
        <w:pStyle w:val="Normal"/>
        <w:rPr>
          <w:rFonts w:ascii="Times New Roman" w:hAnsi="Times New Roman" w:cs="Times New Roman"/>
        </w:rPr>
      </w:pPr>
      <w:r>
        <w:rPr>
          <w:rFonts w:cs="Times New Roman" w:ascii="Times New Roman" w:hAnsi="Times New Roman"/>
        </w:rPr>
        <w:t>De wellenborden zijn van eiken. Voor de wellen en abstracten is raminhout gebruikt. Voor de registermechaniek zijn ijzeren wellen toegepast.</w:t>
      </w:r>
    </w:p>
    <w:p>
      <w:pPr>
        <w:pStyle w:val="Normal"/>
        <w:rPr>
          <w:rFonts w:ascii="Times New Roman" w:hAnsi="Times New Roman" w:cs="Times New Roman"/>
        </w:rPr>
      </w:pPr>
      <w:r>
        <w:rPr>
          <w:rFonts w:cs="Times New Roman" w:ascii="Times New Roman" w:hAnsi="Times New Roman"/>
        </w:rPr>
        <w:t>De cancellenramen van de windladen zijn van eiken. De pijpstokken zijn van mahonie. De slepen zijn van celoron (kunststof). Tussen de stokken en de slepen zijn telescoophulzen aangebracht. De ventielen zijn van sugarpine. Voor doorvoer van de draden door de ventielkast zijn plaatjes celluloid toegepast.</w:t>
      </w:r>
    </w:p>
    <w:p>
      <w:pPr>
        <w:pStyle w:val="Normal"/>
        <w:rPr>
          <w:rFonts w:ascii="Times New Roman" w:hAnsi="Times New Roman" w:cs="Times New Roman"/>
        </w:rPr>
      </w:pPr>
      <w:r>
        <w:rPr>
          <w:rFonts w:cs="Times New Roman" w:ascii="Times New Roman" w:hAnsi="Times New Roman"/>
        </w:rPr>
        <w:t>De houten pijpen zijn van tropisch hardhout met eiken voeten, kernen, voorslagen, stoppen en grepen. Voor de bekers van de Fagot is rood koper toegepast.</w:t>
      </w:r>
    </w:p>
    <w:p>
      <w:pPr>
        <w:pStyle w:val="Normal"/>
        <w:rPr>
          <w:rFonts w:ascii="Times New Roman" w:hAnsi="Times New Roman" w:cs="Times New Roman"/>
        </w:rPr>
      </w:pPr>
      <w:r>
        <w:rPr>
          <w:rFonts w:cs="Times New Roman" w:ascii="Times New Roman" w:hAnsi="Times New Roman"/>
        </w:rPr>
        <w:t>Houten pijpwerk is toegepast voor de Gedekt 16' (Ped) alsmede het groot octaaf van de registers Roerfluit 8' (HW) en Gedekt 8 (RP). Voor de registers Prestant 8', Mixtuur en Cornet (HW); Prestant 4' en Sesquialtera (RP) alsmede C-H van de Prestant 8' (Ped) is een alliage van 75% tin toegepast. Voor de metalen pijpen van de registers Roerfluit 8' (HW), Gedekt 8' en Quintadeen 8' (RP, vanaf c) is 33% tin gebruik. Het overige metalen pijpwerk is van 45% tin.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2010-03-23T17:07:00Z</dcterms:created>
  <dc:creator>WS1</dc:creator>
  <dc:description/>
  <dc:language>en-US</dc:language>
  <cp:lastModifiedBy>NIvO</cp:lastModifiedBy>
  <dcterms:modified xsi:type="dcterms:W3CDTF">2010-03-23T19:03:00Z</dcterms:modified>
  <cp:revision>3</cp:revision>
  <dc:subject/>
  <dc:title>Zeeland / 1895</dc:title>
</cp:coreProperties>
</file>