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Aalten / 1968</w:t>
      </w:r>
    </w:p>
    <w:p>
      <w:pPr>
        <w:pStyle w:val="Heading1"/>
        <w:rPr/>
      </w:pPr>
      <w:r>
        <w:rPr/>
        <w:t>Zuiderkerk</w:t>
      </w:r>
    </w:p>
    <w:p>
      <w:pPr>
        <w:pStyle w:val="T1"/>
        <w:jc w:val="start"/>
        <w:rPr>
          <w:i/>
          <w:i/>
          <w:iCs/>
          <w:lang w:val="nl-NL"/>
        </w:rPr>
      </w:pPr>
      <w:r>
        <w:rPr>
          <w:i/>
          <w:iCs/>
          <w:lang w:val="nl-NL"/>
        </w:rPr>
      </w:r>
    </w:p>
    <w:p>
      <w:pPr>
        <w:pStyle w:val="T1"/>
        <w:jc w:val="start"/>
        <w:rPr>
          <w:i/>
          <w:i/>
          <w:iCs/>
          <w:lang w:val="nl-NL"/>
        </w:rPr>
      </w:pPr>
      <w:r>
        <w:rPr>
          <w:i/>
          <w:iCs/>
          <w:lang w:val="nl-NL"/>
        </w:rPr>
        <w:t>Modern vormgegeven rechthoekige kerk naar een ontwerp van  architect W. van der Zee uit Aalten. De kerk heeft een plat dak. Rondom onder de dakrand smalle ramen waardoor aan alle zijden daglicht naar binnen kan treden. Aan één zijde zijn langwerpige ramen, waarvoor strengen van telkens vijf lampen hangen. Graffito van Harrie Dercksen naast de kansel, voorstellende de visvangst bij Tiberias na Jezus' opstanding. Op de achterwand van de kerkzaal is een schildering gemaakt door gemeenteleden naar ontwerp van Jan Haen. In deze schildering worden verschillende heilsfeiten symbolisch afgebeeld. In hetzelfde jaar is een beschildering aangebracht aan de buitenkant (straatzijde) van de ‘orgelbak’ naar ontwerp van Jan Haen over Mozes bij de brandende braambos. Deze ‘orgelbak’ is een naar buiten uitstekend deel van een kerkwand waarvoor zich aan de binnenzijde het orgel bevindt.</w:t>
      </w:r>
    </w:p>
    <w:p>
      <w:pPr>
        <w:pStyle w:val="T1"/>
        <w:jc w:val="start"/>
        <w:rPr>
          <w:i/>
          <w:i/>
          <w:iCs/>
          <w:lang w:val="nl-NL"/>
        </w:rPr>
      </w:pPr>
      <w:r>
        <w:rPr>
          <w:i/>
          <w:iCs/>
          <w:lang w:val="nl-NL"/>
        </w:rPr>
      </w:r>
    </w:p>
    <w:p>
      <w:pPr>
        <w:pStyle w:val="T1"/>
        <w:jc w:val="start"/>
        <w:rPr>
          <w:lang w:val="nl-NL"/>
        </w:rPr>
      </w:pPr>
      <w:r>
        <w:rPr>
          <w:lang w:val="nl-NL"/>
        </w:rPr>
        <w:t>Kas: 1968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Aalten is het orgel, vanwege de plaatsing in de kerk in de nabijheid van een zijwand, bewust in alle delen asymmetrisch gemaakt. Alle pijpvelden in het front van het orgel zijn vlak en bevatten pijpen die van links naar rechts afnemen in grootte.</w:t>
      </w:r>
    </w:p>
    <w:p>
      <w:pPr>
        <w:pStyle w:val="T2Kunst"/>
        <w:jc w:val="start"/>
        <w:rPr>
          <w:lang w:val="nl-NL"/>
        </w:rPr>
      </w:pPr>
      <w:r>
        <w:rPr>
          <w:lang w:val="nl-NL"/>
        </w:rPr>
        <w:t>Er is een kas voor het hoofdwerk met de gebruikelijke smalle onderbouw met klaviatuur. Daarboven bevindt zich aan de linkerzijde een veld met grote pijpen en vervolgens vier velden met kleinere pijpen in de bij Ahrend &amp; Brunzema in die tijd gebruikelijke asymmetrische tertsenopstelling.</w:t>
      </w:r>
    </w:p>
    <w:p>
      <w:pPr>
        <w:pStyle w:val="T2Kunst"/>
        <w:jc w:val="start"/>
        <w:rPr>
          <w:lang w:val="nl-NL"/>
        </w:rPr>
      </w:pPr>
      <w:r>
        <w:rPr>
          <w:lang w:val="nl-NL"/>
        </w:rPr>
        <w:t>Links tegen de hoofdwerkkas staat één enkele pedaalkas met zes frontpijpen, deze kas staat iets meer naar voren; dit houdt verband met de opstelling van de lade.</w:t>
      </w:r>
    </w:p>
    <w:p>
      <w:pPr>
        <w:pStyle w:val="T2Kunst"/>
        <w:jc w:val="start"/>
        <w:rPr>
          <w:lang w:val="nl-NL"/>
        </w:rPr>
      </w:pPr>
      <w:r>
        <w:rPr>
          <w:lang w:val="nl-NL"/>
        </w:rPr>
        <w:t>De kas van het rugpositief heeft dezelfde indeling als de bovenbouw van het hoofdwerk. Alleen staan hier bij de velden met tertsopstelling telkens zeven pijpen, bij het hoofdwerk zijn dat er zes.</w:t>
      </w:r>
    </w:p>
    <w:p>
      <w:pPr>
        <w:pStyle w:val="T2Kunst"/>
        <w:jc w:val="start"/>
        <w:rPr>
          <w:lang w:val="nl-NL"/>
        </w:rPr>
      </w:pPr>
      <w:r>
        <w:rPr>
          <w:lang w:val="nl-NL"/>
        </w:rPr>
        <w:t>Bij de door Ahrend &amp; Brunzema in een voorgaande periode gebouwde orgels is nog van een opbouw sprake, waarbij, het front, met uitzondering van de velden met tertsopstelling, nog symmetrie vertoont. Bij een aantal orgels in Duitsland was dit het geval, bijvoorbeeld in Bremen-Oberneuland, in Nederland alleen in de voormalige Magnaliakerk in Groningen (thans in Magnalia-Deikerk, Groningen). Het orgel in Aalten vertoont daarentegen algehele asymmetrie. Het rasterwerk boven de frontpijpen verbergt overal de bovenranden der pijpen. Verder is er geen versiering aan de kas. Ook de consoles aan weerszijden onder het bovengedeelte zijn uiterst eenvoudig.</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bCs/>
          <w:lang w:val="nl-NL"/>
        </w:rPr>
        <w:t xml:space="preserve">J.F. van Os, ‘Het orgel in de Gereformeerde Zuiderkerk te Aalten’. </w:t>
      </w:r>
      <w:r>
        <w:rPr>
          <w:bCs/>
          <w:i/>
          <w:iCs/>
          <w:lang w:val="nl-NL"/>
        </w:rPr>
        <w:t xml:space="preserve">Het Orgel </w:t>
      </w:r>
      <w:r>
        <w:rPr>
          <w:bCs/>
          <w:lang w:val="nl-NL"/>
        </w:rPr>
        <w:t>70/10 (1974), 329-331.</w:t>
      </w:r>
    </w:p>
    <w:p>
      <w:pPr>
        <w:pStyle w:val="T3Lit"/>
        <w:jc w:val="start"/>
        <w:rPr/>
      </w:pPr>
      <w:r>
        <w:rPr>
          <w:bCs/>
          <w:i/>
          <w:iCs/>
          <w:lang w:val="nl-NL"/>
        </w:rPr>
        <w:t>De Orgelvriend</w:t>
      </w:r>
      <w:r>
        <w:rPr>
          <w:bCs/>
          <w:lang w:val="nl-NL"/>
        </w:rPr>
        <w:t>, 23/1 (1981), 14.</w:t>
      </w:r>
    </w:p>
    <w:p>
      <w:pPr>
        <w:pStyle w:val="T3Lit"/>
        <w:jc w:val="start"/>
        <w:rPr/>
      </w:pPr>
      <w:r>
        <w:rPr>
          <w:bCs/>
          <w:i/>
          <w:iCs/>
          <w:lang w:val="nl-NL"/>
        </w:rPr>
        <w:t>Het Orgel</w:t>
      </w:r>
      <w:r>
        <w:rPr>
          <w:bCs/>
          <w:lang w:val="nl-NL"/>
        </w:rPr>
        <w:t>, 63/.. (1967), 156.</w:t>
      </w:r>
    </w:p>
    <w:p>
      <w:pPr>
        <w:pStyle w:val="T3Lit"/>
        <w:jc w:val="start"/>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Ahrend &amp; Brunzema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1968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pedaal</w:t>
      </w:r>
    </w:p>
    <w:p>
      <w:pPr>
        <w:pStyle w:val="T1"/>
        <w:jc w:val="start"/>
        <w:rPr>
          <w:lang w:val="nl-NL"/>
        </w:rPr>
      </w:pPr>
      <w:r>
        <w:rPr>
          <w:lang w:val="nl-NL"/>
        </w:rPr>
      </w:r>
    </w:p>
    <w:p>
      <w:pPr>
        <w:pStyle w:val="T1"/>
        <w:jc w:val="start"/>
        <w:rPr/>
      </w:pPr>
      <w:r>
        <w:rPr/>
        <w:t>Dispositie</w:t>
      </w:r>
    </w:p>
    <w:tbl>
      <w:tblPr>
        <w:tblW w:w="6872" w:type="dxa"/>
        <w:jc w:val="start"/>
        <w:tblInd w:w="-70" w:type="dxa"/>
        <w:tblLayout w:type="fixed"/>
        <w:tblCellMar>
          <w:top w:w="0" w:type="dxa"/>
          <w:start w:w="70" w:type="dxa"/>
          <w:bottom w:w="0" w:type="dxa"/>
          <w:end w:w="70" w:type="dxa"/>
        </w:tblCellMar>
      </w:tblPr>
      <w:tblGrid>
        <w:gridCol w:w="1510"/>
        <w:gridCol w:w="900"/>
        <w:gridCol w:w="1620"/>
        <w:gridCol w:w="811"/>
        <w:gridCol w:w="1643"/>
        <w:gridCol w:w="388"/>
      </w:tblGrid>
      <w:tr>
        <w:trPr/>
        <w:tc>
          <w:tcPr>
            <w:tcW w:w="1510" w:type="dxa"/>
            <w:tcBorders/>
          </w:tcPr>
          <w:p>
            <w:pPr>
              <w:pStyle w:val="T4dispositie"/>
              <w:rPr>
                <w:i/>
                <w:i/>
                <w:iCs/>
                <w:lang w:val="nl-NL"/>
              </w:rPr>
            </w:pPr>
            <w:r>
              <w:rPr>
                <w:i/>
                <w:iCs/>
                <w:lang w:val="nl-NL"/>
              </w:rPr>
              <w:t>Hoofdwerk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Praestant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pPr>
            <w:r>
              <w:rPr/>
              <w:t>[4 st.]</w:t>
            </w:r>
          </w:p>
          <w:p>
            <w:pPr>
              <w:pStyle w:val="T4dispositie"/>
              <w:rPr/>
            </w:pPr>
            <w:r>
              <w:rPr/>
              <w:t>8'</w:t>
            </w:r>
          </w:p>
        </w:tc>
        <w:tc>
          <w:tcPr>
            <w:tcW w:w="1620" w:type="dxa"/>
            <w:tcBorders/>
          </w:tcPr>
          <w:p>
            <w:pPr>
              <w:pStyle w:val="T4dispositie"/>
              <w:rPr>
                <w:i/>
                <w:i/>
                <w:iCs/>
              </w:rPr>
            </w:pPr>
            <w:r>
              <w:rPr>
                <w:i/>
                <w:iCs/>
              </w:rPr>
              <w:t>Rugpositief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Praestant</w:t>
            </w:r>
          </w:p>
          <w:p>
            <w:pPr>
              <w:pStyle w:val="T4dispositie"/>
              <w:rPr>
                <w:lang w:val="nl-NL"/>
              </w:rPr>
            </w:pPr>
            <w:r>
              <w:rPr>
                <w:lang w:val="nl-NL"/>
              </w:rPr>
              <w:t>Roerfluit</w:t>
            </w:r>
          </w:p>
          <w:p>
            <w:pPr>
              <w:pStyle w:val="T4dispositie"/>
              <w:rPr>
                <w:lang w:val="nl-NL"/>
              </w:rPr>
            </w:pPr>
            <w:r>
              <w:rPr>
                <w:lang w:val="nl-NL"/>
              </w:rPr>
              <w:t>Spitsfluit</w:t>
            </w:r>
          </w:p>
          <w:p>
            <w:pPr>
              <w:pStyle w:val="T4dispositie"/>
              <w:rPr>
                <w:lang w:val="nl-NL"/>
              </w:rPr>
            </w:pPr>
            <w:r>
              <w:rPr>
                <w:lang w:val="nl-NL"/>
              </w:rPr>
              <w:t>Scherp</w:t>
            </w:r>
          </w:p>
          <w:p>
            <w:pPr>
              <w:pStyle w:val="T4dispositie"/>
              <w:rPr>
                <w:lang w:val="nl-NL"/>
              </w:rPr>
            </w:pPr>
            <w:r>
              <w:rPr>
                <w:lang w:val="nl-NL"/>
              </w:rPr>
              <w:t>Kromhoorn</w:t>
            </w:r>
          </w:p>
        </w:tc>
        <w:tc>
          <w:tcPr>
            <w:tcW w:w="81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8'</w:t>
            </w:r>
          </w:p>
        </w:tc>
        <w:tc>
          <w:tcPr>
            <w:tcW w:w="1643" w:type="dxa"/>
            <w:tcBorders/>
          </w:tcPr>
          <w:p>
            <w:pPr>
              <w:pStyle w:val="T4dispositie"/>
              <w:rPr>
                <w:i/>
                <w:i/>
                <w:iCs/>
                <w:lang w:val="nl-NL"/>
              </w:rPr>
            </w:pPr>
            <w:r>
              <w:rPr>
                <w:i/>
                <w:iCs/>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Trompet</w:t>
            </w:r>
          </w:p>
        </w:tc>
        <w:tc>
          <w:tcPr>
            <w:tcW w:w="38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8'</w:t>
            </w:r>
          </w:p>
        </w:tc>
      </w:tr>
    </w:tbl>
    <w:p>
      <w:pPr>
        <w:pStyle w:val="T1"/>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HW-RP, Ped-HW, Ped-RP</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5804" w:type="dxa"/>
        <w:jc w:val="start"/>
        <w:tblInd w:w="-70" w:type="dxa"/>
        <w:tblLayout w:type="fixed"/>
        <w:tblCellMar>
          <w:top w:w="0" w:type="dxa"/>
          <w:start w:w="70" w:type="dxa"/>
          <w:bottom w:w="0" w:type="dxa"/>
          <w:end w:w="70" w:type="dxa"/>
        </w:tblCellMar>
      </w:tblPr>
      <w:tblGrid>
        <w:gridCol w:w="1474"/>
        <w:gridCol w:w="718"/>
        <w:gridCol w:w="718"/>
        <w:gridCol w:w="729"/>
        <w:gridCol w:w="729"/>
        <w:gridCol w:w="718"/>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9"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pPr>
            <w:r>
              <w:rPr>
                <w:lang w:val="nl-NL"/>
              </w:rPr>
              <w:t>g</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7240" w:type="dxa"/>
        <w:jc w:val="start"/>
        <w:tblInd w:w="-70" w:type="dxa"/>
        <w:tblLayout w:type="fixed"/>
        <w:tblCellMar>
          <w:top w:w="0" w:type="dxa"/>
          <w:start w:w="70" w:type="dxa"/>
          <w:bottom w:w="0" w:type="dxa"/>
          <w:end w:w="70" w:type="dxa"/>
        </w:tblCellMar>
      </w:tblPr>
      <w:tblGrid>
        <w:gridCol w:w="1474"/>
        <w:gridCol w:w="718"/>
        <w:gridCol w:w="718"/>
        <w:gridCol w:w="718"/>
        <w:gridCol w:w="729"/>
        <w:gridCol w:w="729"/>
        <w:gridCol w:w="718"/>
        <w:gridCol w:w="718"/>
        <w:gridCol w:w="718"/>
      </w:tblGrid>
      <w:tr>
        <w:trPr/>
        <w:tc>
          <w:tcPr>
            <w:tcW w:w="1474" w:type="dxa"/>
            <w:tcBorders/>
          </w:tcPr>
          <w:p>
            <w:pPr>
              <w:pStyle w:val="T1"/>
              <w:jc w:val="start"/>
              <w:rPr>
                <w:lang w:val="nl-NL"/>
              </w:rPr>
            </w:pPr>
            <w:r>
              <w:rPr>
                <w:lang w:val="nl-NL"/>
              </w:rPr>
              <w:t>Scherp RP</w:t>
            </w:r>
          </w:p>
        </w:tc>
        <w:tc>
          <w:tcPr>
            <w:tcW w:w="718" w:type="dxa"/>
            <w:tcBorders/>
          </w:tcPr>
          <w:p>
            <w:pPr>
              <w:pStyle w:val="T4dispositie"/>
              <w:rPr>
                <w:lang w:val="nl-NL"/>
              </w:rPr>
            </w:pPr>
            <w:r>
              <w:rPr>
                <w:lang w:val="nl-NL"/>
              </w:rPr>
              <w:t>C</w:t>
            </w:r>
          </w:p>
          <w:p>
            <w:pPr>
              <w:pStyle w:val="T4dispositie"/>
              <w:rPr>
                <w:lang w:val="nl-NL"/>
              </w:rPr>
            </w:pPr>
            <w:r>
              <w:rPr>
                <w:lang w:val="nl-NL"/>
              </w:rPr>
              <w:t>1/3</w:t>
            </w:r>
          </w:p>
          <w:p>
            <w:pPr>
              <w:pStyle w:val="T4dispositie"/>
              <w:rPr>
                <w:lang w:val="nl-NL"/>
              </w:rPr>
            </w:pPr>
            <w:r>
              <w:rPr>
                <w:lang w:val="nl-NL"/>
              </w:rPr>
              <w:t>1/4</w:t>
            </w:r>
          </w:p>
        </w:tc>
        <w:tc>
          <w:tcPr>
            <w:tcW w:w="718" w:type="dxa"/>
            <w:tcBorders/>
          </w:tcPr>
          <w:p>
            <w:pPr>
              <w:pStyle w:val="T4dispositie"/>
              <w:rPr>
                <w:lang w:val="nl-NL"/>
              </w:rPr>
            </w:pPr>
            <w:r>
              <w:rPr>
                <w:lang w:val="nl-NL"/>
              </w:rPr>
              <w:t>G</w:t>
            </w:r>
          </w:p>
          <w:p>
            <w:pPr>
              <w:pStyle w:val="T4dispositie"/>
              <w:rPr>
                <w:lang w:val="nl-NL"/>
              </w:rPr>
            </w:pPr>
            <w:r>
              <w:rPr>
                <w:lang w:val="nl-NL"/>
              </w:rPr>
              <w:t>1/2</w:t>
            </w:r>
          </w:p>
          <w:p>
            <w:pPr>
              <w:pStyle w:val="T4dispositie"/>
              <w:rPr>
                <w:lang w:val="nl-NL"/>
              </w:rPr>
            </w:pPr>
            <w:r>
              <w:rPr>
                <w:lang w:val="nl-NL"/>
              </w:rPr>
              <w:t>1/3</w:t>
            </w:r>
          </w:p>
        </w:tc>
        <w:tc>
          <w:tcPr>
            <w:tcW w:w="718" w:type="dxa"/>
            <w:tcBorders/>
          </w:tcPr>
          <w:p>
            <w:pPr>
              <w:pStyle w:val="T4dispositie"/>
              <w:rPr>
                <w:lang w:val="nl-NL"/>
              </w:rPr>
            </w:pPr>
            <w:r>
              <w:rPr>
                <w:lang w:val="nl-NL"/>
              </w:rPr>
              <w:t>c</w:t>
            </w:r>
          </w:p>
          <w:p>
            <w:pPr>
              <w:pStyle w:val="T4dispositie"/>
              <w:rPr>
                <w:lang w:val="nl-NL"/>
              </w:rPr>
            </w:pPr>
            <w:r>
              <w:rPr>
                <w:lang w:val="nl-NL"/>
              </w:rPr>
              <w:t>2/3</w:t>
            </w:r>
          </w:p>
          <w:p>
            <w:pPr>
              <w:pStyle w:val="T4dispositie"/>
              <w:rPr>
                <w:lang w:val="nl-NL"/>
              </w:rPr>
            </w:pPr>
            <w:r>
              <w:rPr>
                <w:lang w:val="nl-NL"/>
              </w:rPr>
              <w:t>1/2</w:t>
            </w:r>
          </w:p>
        </w:tc>
        <w:tc>
          <w:tcPr>
            <w:tcW w:w="729" w:type="dxa"/>
            <w:tcBorders/>
          </w:tcPr>
          <w:p>
            <w:pPr>
              <w:pStyle w:val="T4dispositie"/>
              <w:rPr>
                <w:lang w:val="nl-NL"/>
              </w:rPr>
            </w:pPr>
            <w:r>
              <w:rPr>
                <w:lang w:val="nl-NL"/>
              </w:rPr>
              <w:t>g</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9" w:type="dxa"/>
            <w:tcBorders/>
          </w:tcPr>
          <w:p>
            <w:pPr>
              <w:pStyle w:val="T4dispositie"/>
              <w:rPr/>
            </w:pPr>
            <w:r>
              <w:rPr>
                <w:lang w:val="nl-NL"/>
              </w:rPr>
              <w:t>g</w:t>
            </w:r>
            <w:r>
              <w:rPr>
                <w:vertAlign w:val="superscript"/>
                <w:lang w:val="nl-NL"/>
              </w:rPr>
              <w:t>1</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g</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443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62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kassen zijn van blank eiken. Bij de pedaalkas functioneert de kerkwand (de ‘orgelbak’) als achterwand en een klein deel van het dak. In het front staan van links naar rechts van de Octaaf 8', de Prestant 8', en de Prestant 4': Ped C-F chromatisch, HW F-H idem, het vervolg in tertsen | c e gs c</w:t>
      </w:r>
      <w:r>
        <w:rPr>
          <w:vertAlign w:val="superscript"/>
          <w:lang w:val="nl-NL"/>
        </w:rPr>
        <w:t>1</w:t>
      </w:r>
      <w:r>
        <w:rPr>
          <w:lang w:val="nl-NL"/>
        </w:rPr>
        <w:t xml:space="preserve"> e</w:t>
      </w:r>
      <w:r>
        <w:rPr>
          <w:vertAlign w:val="superscript"/>
          <w:lang w:val="nl-NL"/>
        </w:rPr>
        <w:t>1</w:t>
      </w:r>
      <w:r>
        <w:rPr>
          <w:lang w:val="nl-NL"/>
        </w:rPr>
        <w:t xml:space="preserve"> gs</w:t>
      </w:r>
      <w:r>
        <w:rPr>
          <w:vertAlign w:val="superscript"/>
          <w:lang w:val="nl-NL"/>
        </w:rPr>
        <w:t>1</w:t>
      </w:r>
      <w:r>
        <w:rPr>
          <w:lang w:val="nl-NL"/>
        </w:rPr>
        <w:t xml:space="preserve"> | d-b</w:t>
      </w:r>
      <w:r>
        <w:rPr>
          <w:vertAlign w:val="superscript"/>
          <w:lang w:val="nl-NL"/>
        </w:rPr>
        <w:t>1</w:t>
      </w:r>
      <w:r>
        <w:rPr>
          <w:lang w:val="nl-NL"/>
        </w:rPr>
        <w:t xml:space="preserve"> | cs-a</w:t>
      </w:r>
      <w:r>
        <w:rPr>
          <w:vertAlign w:val="superscript"/>
          <w:lang w:val="nl-NL"/>
        </w:rPr>
        <w:t>1</w:t>
      </w:r>
      <w:r>
        <w:rPr>
          <w:lang w:val="nl-NL"/>
        </w:rPr>
        <w:t xml:space="preserve"> | ds-h</w:t>
      </w:r>
      <w:r>
        <w:rPr>
          <w:vertAlign w:val="superscript"/>
          <w:lang w:val="nl-NL"/>
        </w:rPr>
        <w:t>1</w:t>
      </w:r>
      <w:r>
        <w:rPr>
          <w:lang w:val="nl-NL"/>
        </w:rPr>
        <w:t>; RP F-H chromatisch, het vervolg in tertsen d-d</w:t>
      </w:r>
      <w:r>
        <w:rPr>
          <w:vertAlign w:val="superscript"/>
          <w:lang w:val="nl-NL"/>
        </w:rPr>
        <w:t>2</w:t>
      </w:r>
      <w:r>
        <w:rPr>
          <w:lang w:val="nl-NL"/>
        </w:rPr>
        <w:t xml:space="preserve"> | e-e</w:t>
      </w:r>
      <w:r>
        <w:rPr>
          <w:vertAlign w:val="superscript"/>
          <w:lang w:val="nl-NL"/>
        </w:rPr>
        <w:t>2</w:t>
      </w:r>
      <w:r>
        <w:rPr>
          <w:lang w:val="nl-NL"/>
        </w:rPr>
        <w:t xml:space="preserve"> | cs-cs</w:t>
      </w:r>
      <w:r>
        <w:rPr>
          <w:vertAlign w:val="superscript"/>
          <w:lang w:val="nl-NL"/>
        </w:rPr>
        <w:t>2</w:t>
      </w:r>
      <w:r>
        <w:rPr>
          <w:lang w:val="nl-NL"/>
        </w:rPr>
        <w:t xml:space="preserve"> | ds-ds</w:t>
      </w:r>
      <w:r>
        <w:rPr>
          <w:vertAlign w:val="superscript"/>
          <w:lang w:val="nl-NL"/>
        </w:rPr>
        <w:t>2</w:t>
      </w:r>
      <w:r>
        <w:rPr>
          <w:lang w:val="nl-NL"/>
        </w:rPr>
        <w:t>; Ped C-F chromatisch</w:t>
      </w:r>
    </w:p>
    <w:p>
      <w:pPr>
        <w:pStyle w:val="T1"/>
        <w:jc w:val="start"/>
        <w:rPr>
          <w:lang w:val="nl-NL"/>
        </w:rPr>
      </w:pPr>
      <w:r>
        <w:rPr>
          <w:lang w:val="nl-NL"/>
        </w:rPr>
        <w:t>De laden van hoofdwerk en rugwerk volgen in hun indeling geheel het front, in de delen met tertsopstelling zijn bij elk der delen de cancellen van de kleinste pijpen die in het front ontbreken, logisch aansluitend toegevoegd. Bij het hoofdwerk staan ook de frontpijpen direct op de lade. Bij het rugwerk en het pedaal is dat niet het geval. De pedaallade heeft een chromatische indeling voor de grote pijpen, waartussen telkens kleinere pijpen (ook chromatisch) zijn gesitueerd. Alle laden zijn ongedeeld.</w:t>
      </w:r>
    </w:p>
    <w:p>
      <w:pPr>
        <w:pStyle w:val="T1"/>
        <w:jc w:val="start"/>
        <w:rPr>
          <w:lang w:val="nl-NL"/>
        </w:rPr>
      </w:pPr>
      <w:r>
        <w:rPr>
          <w:lang w:val="nl-NL"/>
        </w:rPr>
        <w:t>De tractuur is modern, zwevend voor het hoofdwerk, balansklavieren, modern pedaalklavier. Verticale ventielen voor het rugwerk. De tremulant is pneumatisch.</w:t>
      </w:r>
    </w:p>
    <w:p>
      <w:pPr>
        <w:pStyle w:val="T1"/>
        <w:jc w:val="start"/>
        <w:rPr>
          <w:lang w:val="nl-NL"/>
        </w:rPr>
      </w:pPr>
      <w:r>
        <w:rPr>
          <w:lang w:val="nl-NL"/>
        </w:rPr>
        <w:t>De registerknoppen: rechts één verticale rij voor prestantregisters HW, links twee rijen voor de andere HW-registers, koppelingen, pedaalregisters en Tremulant. Knoppen voor RP registers zijn in de achterkant van de RP-kas aangebracht.</w:t>
      </w:r>
    </w:p>
    <w:p>
      <w:pPr>
        <w:pStyle w:val="T1"/>
        <w:jc w:val="start"/>
        <w:rPr>
          <w:lang w:val="nl-NL"/>
        </w:rPr>
      </w:pPr>
      <w:r>
        <w:rPr>
          <w:lang w:val="nl-NL"/>
        </w:rPr>
        <w:t>De grote magazijnbalg staat in een hoge smalle balgenkast, evenals de tremulant. Vervolgens komt de wind in een gesloten ruimte die als luchtkussen dienst doet en die in verbinding staat met de ventielkast van het hoofdwerk. Dit systeem hebben deze orgelmakers maar korte tijd bij hun orgels toegepast.</w:t>
      </w:r>
    </w:p>
    <w:p>
      <w:pPr>
        <w:pStyle w:val="T1"/>
        <w:jc w:val="start"/>
        <w:rPr/>
      </w:pPr>
      <w:r>
        <w:rPr>
          <w:lang w:val="nl-NL"/>
        </w:rPr>
        <w:t>De Praestant 8' (HW) is van C-E gecombineerd met de Holpijp; F-h</w:t>
      </w:r>
      <w:r>
        <w:rPr>
          <w:vertAlign w:val="superscript"/>
          <w:lang w:val="nl-NL"/>
        </w:rPr>
        <w:t>1</w:t>
      </w:r>
      <w:r>
        <w:rPr>
          <w:lang w:val="nl-NL"/>
        </w:rPr>
        <w:t xml:space="preserve"> staan in het front, het vervolg staat direct achter het front. De discant van de Holpijp 8' is voorzien van roeren. Van de Praestant 4' (RP) staan F-H en cis-e in het front. C-H van de Holpijp 8' zijn van eiken en horizontaal aangebracht tegen de binnenzijde van het dak. C-H van de Roerfluit 4' zijn gedekt. Van de Spitsfluit 2' zijn C-c gedekt. Enkele pijpen, bovenvermeld, van eikenhout met beweegbare deksels, ook enkele met vastzittende deksels, overige labiaalpijpen van metaal; hiervan alleen de frontpijpen gehamerd. De gedekten zijn dichtgesoldeerd. Alle open pijpen zijn op natuurlijke lengte afgesneden. De tongwerken staan in tongenblokken met Cuba-mahonie koppen. De manuaaltongwerken zijn geheel onbeleerd en in de bas met ebbehouten kelen; de pedaaltrompet is in het groot octaaf beleerd. De frontpijpen zijn gehamerd.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2010-03-23T17:45:00Z</dcterms:created>
  <dc:creator>WS1</dc:creator>
  <dc:description/>
  <dc:language>en-US</dc:language>
  <cp:lastModifiedBy>NIvO</cp:lastModifiedBy>
  <dcterms:modified xsi:type="dcterms:W3CDTF">2010-03-23T21:27:00Z</dcterms:modified>
  <cp:revision>4</cp:revision>
  <dc:subject/>
  <dc:title>Heumen / ca 1860</dc:title>
</cp:coreProperties>
</file>