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Amersfoort / 1970</w:t>
      </w:r>
    </w:p>
    <w:p>
      <w:pPr>
        <w:pStyle w:val="Heading2"/>
        <w:rPr>
          <w:i w:val="false"/>
          <w:i w:val="false"/>
          <w:iCs/>
        </w:rPr>
      </w:pPr>
      <w:r>
        <w:rPr>
          <w:i w:val="false"/>
          <w:iCs/>
        </w:rPr>
        <w:t>Fonteinkerk</w:t>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i/>
          <w:i/>
        </w:rPr>
      </w:pPr>
      <w:r>
        <w:rPr>
          <w:rFonts w:cs="Times New Roman" w:ascii="Times New Roman" w:hAnsi="Times New Roman"/>
          <w:i/>
        </w:rPr>
        <w:t>Op 26 februari 1949 werd de eerste steen gelegd voor de voormalige Leusderkerk. In 1963 besloot men tot de bouw van een nieuwe kerk naar ontwerp van D. Zuiderhoek waarin de bestaande Leusderkerk was geïntegreerd. Kenmerken van deze architect zijn onder andere de niet parallelle wanden(de lichtgebogen muur aan de westkant van het gebouw symboliseert de beschermende arm Gods om de gemeente heen), het gaan van het donker naar het licht, een plafond met oplopende hoogte en bestaande uit houten sierdelen, en wanden met siermetselwerk. De kerk was in 1966 gereed; de inrichting is grotendeels uit de bouwtijd.</w:t>
      </w:r>
    </w:p>
    <w:p>
      <w:pPr>
        <w:pStyle w:val="Normal"/>
        <w:rPr>
          <w:rFonts w:ascii="Times New Roman" w:hAnsi="Times New Roman" w:cs="Times New Roman"/>
          <w:i/>
          <w:i/>
        </w:rPr>
      </w:pPr>
      <w:r>
        <w:rPr>
          <w:rFonts w:cs="Times New Roman" w:ascii="Times New Roman" w:hAnsi="Times New Roman"/>
          <w:i/>
        </w:rPr>
      </w:r>
    </w:p>
    <w:p>
      <w:pPr>
        <w:pStyle w:val="T1"/>
        <w:jc w:val="start"/>
        <w:rPr>
          <w:lang w:val="nl-NL"/>
        </w:rPr>
      </w:pPr>
      <w:r>
        <w:rPr>
          <w:lang w:val="nl-NL"/>
        </w:rPr>
        <w:t>Kas: 1970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De eiken orgelkas is ontworpen door D. Zuiderhoek. Het front van dit opvallende, tegen een rijzig, gesloten bakstenen wand geplaatste orgel heeft verschillende componenten. </w:t>
      </w:r>
      <w:r>
        <w:rPr/>
        <w:t xml:space="preserve">Ze vertegenwoordigen ook verschillende herkomsten en ideeën. Als eerste trekt het orgelbalkon de aandacht door de afgeronde vormen, de witte uitvoering, en de afwezigheid van ondersteuning. Het kan worden beschouwd als een 20e-eeuwse vertaling van soortgelijke balkons, die bekend zijn van eeuwen geleden. </w:t>
      </w:r>
      <w:r>
        <w:rPr>
          <w:lang w:val="nl-NL"/>
        </w:rPr>
        <w:t xml:space="preserve">Vorm en bouwtechniek zijn hier echter op eigentijdse wijze met het aloude idee verweven. Als tweede element moet de onderkas genoemd worden. </w:t>
      </w:r>
      <w:r>
        <w:rPr/>
        <w:t>Klassiek vormgegeven, met borstwerkdeuren die van openingen zijn voorzien in een strakke, terughoudende vormgeving.</w:t>
      </w:r>
    </w:p>
    <w:p>
      <w:pPr>
        <w:pStyle w:val="T2Kunst"/>
        <w:jc w:val="start"/>
        <w:rPr/>
      </w:pPr>
      <w:r>
        <w:rPr/>
        <w:t>Consoles vormen de overgang naar de bredere bovenkas, die aan de onderzijde van een vlakke krans is voorzien.</w:t>
      </w:r>
    </w:p>
    <w:p>
      <w:pPr>
        <w:pStyle w:val="T2Kunst"/>
        <w:jc w:val="start"/>
        <w:rPr/>
      </w:pPr>
      <w:r>
        <w:rPr>
          <w:lang w:val="nl-NL"/>
        </w:rPr>
        <w:t xml:space="preserve">Verrassend is vervolgens het derde element, het pijpenfront, waarachter het hoofdwerk en pedaal zijn opgesteld. </w:t>
      </w:r>
      <w:r>
        <w:rPr/>
        <w:t>De vijf geledingen van het vlakke front suggereren de twee werken door hun indeling in de drie partijen en links en de twee, (zonder kleine pijpen) rechts. Het enige symmetrische element wordt gevormd door de buitenste velden, die elk vijf pijpen bevatten. Maar volstrekte symmetrie is hier dan ook weer niet nagestreefd, want in het rechter veld zijn de pijpvoeten langer dan in het linkerveld. Bij de drie middelste velden is de asymmetrie dan volkomen.</w:t>
      </w:r>
    </w:p>
    <w:p>
      <w:pPr>
        <w:pStyle w:val="T2Kunst"/>
        <w:jc w:val="start"/>
        <w:rPr/>
      </w:pPr>
      <w:r>
        <w:rPr/>
        <w:t>De bovenlijsten accentueren de tweedeling zoals die hierboven is aangeduid, twee velden rechts en drie links. In een zwierige paraboolvorm sluiten ze het front af, naar onderen toe steeds verbredend, en in het midden over elkaar heen schuivend. De labiumlijnen beantwoorden deze paraboolvorm, zij het dat de dramatiek hier geringer is. Aardig is tenslotte, dat bij de labiumlijnen het keerpunt in het veld met de kleinste pijpen plaats vindt, rechts, iets uit het midden.</w:t>
      </w:r>
    </w:p>
    <w:p>
      <w:pPr>
        <w:pStyle w:val="T3Lit"/>
        <w:jc w:val="start"/>
        <w:rPr>
          <w:b/>
          <w:b/>
          <w:bCs/>
          <w:lang w:val="nl-NL"/>
        </w:rPr>
      </w:pPr>
      <w:r>
        <w:rPr>
          <w:b/>
          <w:bCs/>
          <w:lang w:val="nl-NL"/>
        </w:rPr>
      </w:r>
    </w:p>
    <w:p>
      <w:pPr>
        <w:pStyle w:val="T3Lit"/>
        <w:jc w:val="start"/>
        <w:rPr>
          <w:b/>
          <w:b/>
          <w:bCs/>
          <w:lang w:val="nl-NL"/>
        </w:rPr>
      </w:pPr>
      <w:r>
        <w:rPr>
          <w:b/>
          <w:bCs/>
          <w:lang w:val="nl-NL"/>
        </w:rPr>
        <w:t>Literatuur</w:t>
      </w:r>
    </w:p>
    <w:p>
      <w:pPr>
        <w:pStyle w:val="T3Lit"/>
        <w:jc w:val="start"/>
        <w:rPr/>
      </w:pPr>
      <w:r>
        <w:rPr>
          <w:i/>
          <w:lang w:val="nl-NL"/>
        </w:rPr>
        <w:t xml:space="preserve">Het Orgel, </w:t>
      </w:r>
      <w:r>
        <w:rPr>
          <w:lang w:val="nl-NL"/>
        </w:rPr>
        <w:t>66/5 (1970), 138-139.</w:t>
      </w:r>
    </w:p>
    <w:p>
      <w:pPr>
        <w:pStyle w:val="T3Lit"/>
        <w:jc w:val="start"/>
        <w:rPr>
          <w:lang w:val="nl-NL"/>
        </w:rPr>
      </w:pPr>
      <w:r>
        <w:rPr>
          <w:lang w:val="nl-NL"/>
        </w:rPr>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H. van Eeken.</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K.B. Blank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1970</w:t>
      </w:r>
    </w:p>
    <w:p>
      <w:pPr>
        <w:pStyle w:val="T1"/>
        <w:jc w:val="start"/>
        <w:rPr>
          <w:lang w:val="nl-NL"/>
        </w:rPr>
      </w:pPr>
      <w:r>
        <w:rPr>
          <w:lang w:val="nl-NL"/>
        </w:rPr>
      </w:r>
    </w:p>
    <w:p>
      <w:pPr>
        <w:pStyle w:val="T1"/>
        <w:jc w:val="start"/>
        <w:rPr>
          <w:lang w:val="nl-NL"/>
        </w:rPr>
      </w:pPr>
      <w:r>
        <w:rPr>
          <w:lang w:val="nl-NL"/>
        </w:rPr>
        <w:t>H. van Eeken 1996</w:t>
      </w:r>
    </w:p>
    <w:p>
      <w:pPr>
        <w:pStyle w:val="T1"/>
        <w:jc w:val="start"/>
        <w:rPr>
          <w:lang w:val="nl-NL"/>
        </w:rPr>
      </w:pPr>
      <w:r>
        <w:rPr>
          <w:lang w:val="nl-NL"/>
        </w:rPr>
        <w:t>.</w:t>
        <w:tab/>
        <w:t>schoonmaak en herstel</w:t>
      </w:r>
    </w:p>
    <w:p>
      <w:pPr>
        <w:pStyle w:val="T1"/>
        <w:jc w:val="start"/>
        <w:rPr>
          <w:lang w:val="nl-NL"/>
        </w:rPr>
      </w:pPr>
      <w:r>
        <w:rPr>
          <w:lang w:val="nl-NL"/>
        </w:rPr>
        <w:t>.</w:t>
        <w:tab/>
        <w:t>een aantal verzakte pijpvoeten vernieuwd</w:t>
      </w:r>
    </w:p>
    <w:p>
      <w:pPr>
        <w:pStyle w:val="T1"/>
        <w:jc w:val="start"/>
        <w:rPr>
          <w:lang w:val="nl-NL"/>
        </w:rPr>
      </w:pPr>
      <w:r>
        <w:rPr>
          <w:lang w:val="nl-NL"/>
        </w:rPr>
      </w:r>
    </w:p>
    <w:p>
      <w:pPr>
        <w:pStyle w:val="T1"/>
        <w:jc w:val="start"/>
        <w:rPr>
          <w:lang w:val="nl-NL"/>
        </w:rPr>
      </w:pPr>
      <w:r>
        <w:rPr>
          <w:lang w:val="nl-NL"/>
        </w:rPr>
        <w:t>H. van Eeken 1998</w:t>
      </w:r>
    </w:p>
    <w:p>
      <w:pPr>
        <w:pStyle w:val="T1"/>
        <w:jc w:val="start"/>
        <w:rPr>
          <w:lang w:val="nl-NL"/>
        </w:rPr>
      </w:pPr>
      <w:r>
        <w:rPr>
          <w:lang w:val="nl-NL"/>
        </w:rPr>
        <w:t>.</w:t>
        <w:tab/>
        <w:t>verzakte frontpijpen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borstwerk, pedaal</w:t>
      </w:r>
    </w:p>
    <w:p>
      <w:pPr>
        <w:pStyle w:val="T1"/>
        <w:jc w:val="start"/>
        <w:rPr>
          <w:lang w:val="nl-NL"/>
        </w:rPr>
      </w:pPr>
      <w:r>
        <w:rPr>
          <w:lang w:val="nl-NL"/>
        </w:rPr>
      </w:r>
    </w:p>
    <w:p>
      <w:pPr>
        <w:pStyle w:val="T1"/>
        <w:jc w:val="start"/>
        <w:rPr/>
      </w:pPr>
      <w:r>
        <w:rPr/>
        <w:t xml:space="preserve">Dispositie </w:t>
      </w:r>
    </w:p>
    <w:tbl>
      <w:tblPr>
        <w:tblW w:w="7450" w:type="dxa"/>
        <w:jc w:val="start"/>
        <w:tblInd w:w="-70" w:type="dxa"/>
        <w:tblLayout w:type="fixed"/>
        <w:tblCellMar>
          <w:top w:w="0" w:type="dxa"/>
          <w:start w:w="70" w:type="dxa"/>
          <w:bottom w:w="0" w:type="dxa"/>
          <w:end w:w="70" w:type="dxa"/>
        </w:tblCellMar>
      </w:tblPr>
      <w:tblGrid>
        <w:gridCol w:w="1510"/>
        <w:gridCol w:w="900"/>
        <w:gridCol w:w="1620"/>
        <w:gridCol w:w="900"/>
        <w:gridCol w:w="1567"/>
        <w:gridCol w:w="953"/>
      </w:tblGrid>
      <w:tr>
        <w:trPr/>
        <w:tc>
          <w:tcPr>
            <w:tcW w:w="1510" w:type="dxa"/>
            <w:tcBorders/>
          </w:tcPr>
          <w:p>
            <w:pPr>
              <w:pStyle w:val="T4dispositie"/>
              <w:jc w:val="start"/>
              <w:rPr>
                <w:lang w:val="nl-NL"/>
              </w:rPr>
            </w:pPr>
            <w:r>
              <w:rPr>
                <w:i/>
                <w:iCs/>
                <w:lang w:val="nl-NL"/>
              </w:rPr>
              <w:t>Hoofdwerk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pPr>
            <w:r>
              <w:rPr/>
              <w:t>Gemshoorn</w:t>
            </w:r>
          </w:p>
          <w:p>
            <w:pPr>
              <w:pStyle w:val="T4dispositie"/>
              <w:jc w:val="start"/>
              <w:rPr/>
            </w:pPr>
            <w:r>
              <w:rPr/>
              <w:t>Quint</w:t>
            </w:r>
          </w:p>
          <w:p>
            <w:pPr>
              <w:pStyle w:val="T4dispositie"/>
              <w:jc w:val="start"/>
              <w:rPr/>
            </w:pPr>
            <w:r>
              <w:rPr/>
              <w:t>Octaaf</w:t>
            </w:r>
          </w:p>
          <w:p>
            <w:pPr>
              <w:pStyle w:val="T4dispositie"/>
              <w:jc w:val="start"/>
              <w:rPr/>
            </w:pPr>
            <w:r>
              <w:rPr/>
              <w:t>Mixtuur</w:t>
            </w:r>
          </w:p>
          <w:p>
            <w:pPr>
              <w:pStyle w:val="T4dispositie"/>
              <w:jc w:val="start"/>
              <w:rPr/>
            </w:pPr>
            <w:r>
              <w:rPr/>
              <w:t>Sesquialter</w:t>
            </w:r>
          </w:p>
          <w:p>
            <w:pPr>
              <w:pStyle w:val="T4dispositie"/>
              <w:jc w:val="start"/>
              <w:rPr/>
            </w:pPr>
            <w:r>
              <w:rPr/>
              <w:t>Trompet</w:t>
            </w:r>
          </w:p>
        </w:tc>
        <w:tc>
          <w:tcPr>
            <w:tcW w:w="900"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8'</w:t>
            </w:r>
          </w:p>
          <w:p>
            <w:pPr>
              <w:pStyle w:val="T4dispositie"/>
              <w:jc w:val="start"/>
              <w:rPr/>
            </w:pPr>
            <w:r>
              <w:rPr/>
              <w:t>8'</w:t>
            </w:r>
          </w:p>
          <w:p>
            <w:pPr>
              <w:pStyle w:val="T4dispositie"/>
              <w:jc w:val="start"/>
              <w:rPr/>
            </w:pPr>
            <w:r>
              <w:rPr/>
              <w:t>4'</w:t>
            </w:r>
          </w:p>
          <w:p>
            <w:pPr>
              <w:pStyle w:val="T4dispositie"/>
              <w:jc w:val="start"/>
              <w:rPr/>
            </w:pPr>
            <w:r>
              <w:rPr/>
              <w:t>4'</w:t>
            </w:r>
          </w:p>
          <w:p>
            <w:pPr>
              <w:pStyle w:val="T4dispositie"/>
              <w:jc w:val="start"/>
              <w:rPr/>
            </w:pPr>
            <w:r>
              <w:rPr/>
              <w:t>2 2/3'</w:t>
            </w:r>
          </w:p>
          <w:p>
            <w:pPr>
              <w:pStyle w:val="T4dispositie"/>
              <w:jc w:val="start"/>
              <w:rPr/>
            </w:pPr>
            <w:r>
              <w:rPr/>
              <w:t>2'</w:t>
            </w:r>
          </w:p>
          <w:p>
            <w:pPr>
              <w:pStyle w:val="T4dispositie"/>
              <w:jc w:val="start"/>
              <w:rPr/>
            </w:pPr>
            <w:r>
              <w:rPr/>
              <w:t>4-5 st.</w:t>
            </w:r>
          </w:p>
          <w:p>
            <w:pPr>
              <w:pStyle w:val="T4dispositie"/>
              <w:jc w:val="start"/>
              <w:rPr>
                <w:lang w:val="nl-NL"/>
              </w:rPr>
            </w:pPr>
            <w:r>
              <w:rPr>
                <w:lang w:val="nl-NL"/>
              </w:rPr>
              <w:t>2 st.</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Borstwerk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Gedekt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Nasard</w:t>
            </w:r>
          </w:p>
          <w:p>
            <w:pPr>
              <w:pStyle w:val="T4dispositie"/>
              <w:jc w:val="start"/>
              <w:rPr>
                <w:lang w:val="nl-NL"/>
              </w:rPr>
            </w:pPr>
            <w:r>
              <w:rPr>
                <w:lang w:val="nl-NL"/>
              </w:rPr>
              <w:t>Scherp</w:t>
            </w:r>
          </w:p>
          <w:p>
            <w:pPr>
              <w:pStyle w:val="T4dispositie"/>
              <w:jc w:val="start"/>
              <w:rPr>
                <w:lang w:val="nl-NL"/>
              </w:rPr>
            </w:pPr>
            <w:r>
              <w:rPr>
                <w:lang w:val="nl-NL"/>
              </w:rPr>
              <w:t>Dulciaan</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pPr>
            <w:r>
              <w:rPr/>
              <w:t>1 1/3'</w:t>
            </w:r>
          </w:p>
          <w:p>
            <w:pPr>
              <w:pStyle w:val="T4dispositie"/>
              <w:jc w:val="start"/>
              <w:rPr/>
            </w:pPr>
            <w:r>
              <w:rPr/>
              <w:t>3 st.</w:t>
            </w:r>
          </w:p>
          <w:p>
            <w:pPr>
              <w:pStyle w:val="T4dispositie"/>
              <w:jc w:val="start"/>
              <w:rPr/>
            </w:pPr>
            <w:r>
              <w:rPr/>
              <w:t>8'</w:t>
            </w:r>
          </w:p>
        </w:tc>
        <w:tc>
          <w:tcPr>
            <w:tcW w:w="1567" w:type="dxa"/>
            <w:tcBorders/>
          </w:tcPr>
          <w:p>
            <w:pPr>
              <w:pStyle w:val="T4dispositie"/>
              <w:jc w:val="start"/>
              <w:rPr>
                <w:i/>
                <w:i/>
                <w:iCs/>
                <w:lang w:val="nl-NL"/>
              </w:rPr>
            </w:pPr>
            <w:r>
              <w:rPr>
                <w:i/>
                <w:iCs/>
                <w:lang w:val="nl-NL"/>
              </w:rPr>
              <w:t>Pedaal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Prestant</w:t>
            </w:r>
          </w:p>
          <w:p>
            <w:pPr>
              <w:pStyle w:val="T4dispositie"/>
              <w:jc w:val="start"/>
              <w:rPr/>
            </w:pPr>
            <w:r>
              <w:rPr/>
              <w:t>Octaaf</w:t>
            </w:r>
          </w:p>
          <w:p>
            <w:pPr>
              <w:pStyle w:val="T4dispositie"/>
              <w:jc w:val="start"/>
              <w:rPr/>
            </w:pPr>
            <w:r>
              <w:rPr/>
              <w:t>Fagot</w:t>
            </w:r>
          </w:p>
        </w:tc>
        <w:tc>
          <w:tcPr>
            <w:tcW w:w="953"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16'</w:t>
            </w:r>
          </w:p>
          <w:p>
            <w:pPr>
              <w:pStyle w:val="T4dispositie"/>
              <w:jc w:val="start"/>
              <w:rPr/>
            </w:pPr>
            <w:r>
              <w:rPr/>
              <w:t>8'</w:t>
            </w:r>
          </w:p>
          <w:p>
            <w:pPr>
              <w:pStyle w:val="T4dispositie"/>
              <w:jc w:val="start"/>
              <w:rPr>
                <w:lang w:val="nl-NL"/>
              </w:rPr>
            </w:pPr>
            <w:r>
              <w:rPr>
                <w:lang w:val="nl-NL"/>
              </w:rPr>
              <w:t>4'</w:t>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szCs w:val="24"/>
          <w:lang w:val="nl-NL"/>
        </w:rPr>
      </w:pPr>
      <w:r>
        <w:rPr>
          <w:lang w:val="nl-NL"/>
        </w:rPr>
        <w:t>Werktuiglijke registers</w:t>
      </w:r>
    </w:p>
    <w:p>
      <w:pPr>
        <w:pStyle w:val="Normal"/>
        <w:rPr>
          <w:rFonts w:ascii="Times New Roman" w:hAnsi="Times New Roman" w:cs="Times New Roman"/>
          <w:szCs w:val="24"/>
          <w:lang w:val="en-US"/>
        </w:rPr>
      </w:pPr>
      <w:r>
        <w:rPr>
          <w:rFonts w:cs="Times New Roman" w:ascii="Times New Roman" w:hAnsi="Times New Roman"/>
          <w:szCs w:val="24"/>
          <w:lang w:val="en-US"/>
        </w:rPr>
        <w:t>koppelingen HW-BoW, Ped-HW, Ped-BoW</w:t>
      </w:r>
    </w:p>
    <w:p>
      <w:pPr>
        <w:pStyle w:val="T1"/>
        <w:jc w:val="start"/>
        <w:rPr>
          <w:szCs w:val="24"/>
        </w:rPr>
      </w:pPr>
      <w:r>
        <w:rPr>
          <w:szCs w:val="24"/>
        </w:rPr>
        <w:t>tremulant BoW</w:t>
      </w:r>
    </w:p>
    <w:p>
      <w:pPr>
        <w:pStyle w:val="T1"/>
        <w:jc w:val="start"/>
        <w:rPr>
          <w:szCs w:val="24"/>
        </w:rPr>
      </w:pPr>
      <w:r>
        <w:rPr>
          <w:szCs w:val="24"/>
        </w:rPr>
      </w:r>
    </w:p>
    <w:p>
      <w:pPr>
        <w:pStyle w:val="T1"/>
        <w:jc w:val="start"/>
        <w:rPr>
          <w:lang w:val="nl-NL"/>
        </w:rPr>
      </w:pPr>
      <w:r>
        <w:rPr>
          <w:szCs w:val="24"/>
          <w:lang w:val="nl-NL"/>
        </w:rPr>
        <w:t>Samenstelling vulstemmen</w:t>
      </w:r>
    </w:p>
    <w:tbl>
      <w:tblPr>
        <w:tblW w:w="4874" w:type="dxa"/>
        <w:jc w:val="start"/>
        <w:tblInd w:w="-70" w:type="dxa"/>
        <w:tblLayout w:type="fixed"/>
        <w:tblCellMar>
          <w:top w:w="0" w:type="dxa"/>
          <w:start w:w="70" w:type="dxa"/>
          <w:bottom w:w="0" w:type="dxa"/>
          <w:end w:w="70" w:type="dxa"/>
        </w:tblCellMar>
      </w:tblPr>
      <w:tblGrid>
        <w:gridCol w:w="1510"/>
        <w:gridCol w:w="540"/>
        <w:gridCol w:w="583"/>
        <w:gridCol w:w="747"/>
        <w:gridCol w:w="747"/>
        <w:gridCol w:w="747"/>
      </w:tblGrid>
      <w:tr>
        <w:trPr/>
        <w:tc>
          <w:tcPr>
            <w:tcW w:w="1510"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54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583"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47"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fr-FR"/>
              </w:rPr>
            </w:pPr>
            <w:r>
              <w:rPr>
                <w:lang w:val="fr-FR"/>
              </w:rPr>
              <w:t>2</w:t>
            </w:r>
          </w:p>
          <w:p>
            <w:pPr>
              <w:pStyle w:val="T4dispositie"/>
              <w:rPr>
                <w:lang w:val="fr-FR"/>
              </w:rPr>
            </w:pPr>
            <w:r>
              <w:rPr>
                <w:lang w:val="fr-FR"/>
              </w:rPr>
              <w:t>2</w:t>
            </w:r>
          </w:p>
          <w:p>
            <w:pPr>
              <w:pStyle w:val="T4dispositie"/>
              <w:rPr>
                <w:lang w:val="fr-FR"/>
              </w:rPr>
            </w:pPr>
            <w:r>
              <w:rPr>
                <w:lang w:val="fr-FR"/>
              </w:rPr>
              <w:t>1 1/3</w:t>
            </w:r>
          </w:p>
          <w:p>
            <w:pPr>
              <w:pStyle w:val="T4dispositie"/>
              <w:rPr>
                <w:lang w:val="fr-FR"/>
              </w:rPr>
            </w:pPr>
            <w:r>
              <w:rPr>
                <w:lang w:val="fr-FR"/>
              </w:rPr>
              <w:t>1</w:t>
            </w:r>
          </w:p>
        </w:tc>
        <w:tc>
          <w:tcPr>
            <w:tcW w:w="747" w:type="dxa"/>
            <w:tcBorders/>
          </w:tcPr>
          <w:p>
            <w:pPr>
              <w:pStyle w:val="T4dispositie"/>
              <w:rPr/>
            </w:pPr>
            <w:r>
              <w:rPr>
                <w:lang w:val="fr-FR"/>
              </w:rPr>
              <w:t>c</w:t>
            </w:r>
            <w:r>
              <w:rPr>
                <w:vertAlign w:val="superscript"/>
                <w:lang w:val="fr-FR"/>
              </w:rPr>
              <w:t>2</w:t>
            </w:r>
          </w:p>
          <w:p>
            <w:pPr>
              <w:pStyle w:val="T4dispositie"/>
              <w:rPr>
                <w:lang w:val="fr-FR"/>
              </w:rPr>
            </w:pPr>
            <w:r>
              <w:rPr>
                <w:lang w:val="fr-FR"/>
              </w:rPr>
              <w:t>4</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2</w:t>
            </w:r>
          </w:p>
          <w:p>
            <w:pPr>
              <w:pStyle w:val="T4dispositie"/>
              <w:rPr>
                <w:lang w:val="fr-FR"/>
              </w:rPr>
            </w:pPr>
            <w:r>
              <w:rPr>
                <w:lang w:val="fr-FR"/>
              </w:rPr>
              <w:t>1 1/3</w:t>
            </w:r>
          </w:p>
        </w:tc>
        <w:tc>
          <w:tcPr>
            <w:tcW w:w="747" w:type="dxa"/>
            <w:tcBorders/>
          </w:tcPr>
          <w:p>
            <w:pPr>
              <w:pStyle w:val="T4dispositie"/>
              <w:rPr>
                <w:lang w:val="fr-FR"/>
              </w:rPr>
            </w:pPr>
            <w:r>
              <w:rPr>
                <w:lang w:val="fr-FR"/>
              </w:rPr>
              <w:t>c</w:t>
            </w:r>
            <w:r>
              <w:rPr>
                <w:vertAlign w:val="superscript"/>
                <w:lang w:val="fr-FR"/>
              </w:rPr>
              <w:t>3</w:t>
            </w:r>
          </w:p>
          <w:p>
            <w:pPr>
              <w:pStyle w:val="T4dispositie"/>
              <w:rPr>
                <w:lang w:val="fr-FR"/>
              </w:rPr>
            </w:pPr>
            <w:r>
              <w:rPr>
                <w:lang w:val="fr-FR"/>
              </w:rPr>
              <w:t>4</w:t>
            </w:r>
          </w:p>
          <w:p>
            <w:pPr>
              <w:pStyle w:val="T4dispositie"/>
              <w:rPr>
                <w:lang w:val="fr-FR"/>
              </w:rPr>
            </w:pPr>
            <w:r>
              <w:rPr>
                <w:lang w:val="fr-FR"/>
              </w:rPr>
              <w:t>2 2/3</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2</w:t>
            </w:r>
          </w:p>
        </w:tc>
      </w:tr>
    </w:tbl>
    <w:p>
      <w:pPr>
        <w:pStyle w:val="Normal"/>
        <w:rPr>
          <w:rFonts w:ascii="Times New Roman" w:hAnsi="Times New Roman" w:cs="Times New Roman"/>
          <w:szCs w:val="24"/>
          <w:lang w:val="fr-FR"/>
        </w:rPr>
      </w:pPr>
      <w:r>
        <w:rPr>
          <w:rFonts w:cs="Times New Roman" w:ascii="Times New Roman" w:hAnsi="Times New Roman"/>
          <w:szCs w:val="24"/>
          <w:lang w:val="fr-FR"/>
        </w:rPr>
      </w:r>
    </w:p>
    <w:tbl>
      <w:tblPr>
        <w:tblW w:w="2590" w:type="dxa"/>
        <w:jc w:val="start"/>
        <w:tblInd w:w="-70" w:type="dxa"/>
        <w:tblLayout w:type="fixed"/>
        <w:tblCellMar>
          <w:top w:w="0" w:type="dxa"/>
          <w:start w:w="70" w:type="dxa"/>
          <w:bottom w:w="0" w:type="dxa"/>
          <w:end w:w="70" w:type="dxa"/>
        </w:tblCellMar>
      </w:tblPr>
      <w:tblGrid>
        <w:gridCol w:w="1870"/>
        <w:gridCol w:w="720"/>
      </w:tblGrid>
      <w:tr>
        <w:trPr/>
        <w:tc>
          <w:tcPr>
            <w:tcW w:w="1870" w:type="dxa"/>
            <w:tcBorders/>
          </w:tcPr>
          <w:p>
            <w:pPr>
              <w:pStyle w:val="Normal"/>
              <w:rPr>
                <w:rFonts w:ascii="Times New Roman" w:hAnsi="Times New Roman" w:cs="Times New Roman"/>
                <w:szCs w:val="24"/>
                <w:lang w:val="fr-FR"/>
              </w:rPr>
            </w:pPr>
            <w:r>
              <w:rPr>
                <w:rFonts w:cs="Times New Roman" w:ascii="Times New Roman" w:hAnsi="Times New Roman"/>
                <w:szCs w:val="24"/>
                <w:lang w:val="fr-FR"/>
              </w:rPr>
              <w:t>Sesquialtera HW</w:t>
            </w:r>
          </w:p>
        </w:tc>
        <w:tc>
          <w:tcPr>
            <w:tcW w:w="720" w:type="dxa"/>
            <w:tcBorders/>
          </w:tcPr>
          <w:p>
            <w:pPr>
              <w:pStyle w:val="T4dispositie"/>
              <w:rPr>
                <w:lang w:val="fr-FR"/>
              </w:rPr>
            </w:pPr>
            <w:r>
              <w:rPr>
                <w:lang w:val="fr-FR"/>
              </w:rPr>
              <w:t>g</w:t>
            </w:r>
          </w:p>
          <w:p>
            <w:pPr>
              <w:pStyle w:val="T4dispositie"/>
              <w:rPr>
                <w:lang w:val="fr-FR"/>
              </w:rPr>
            </w:pPr>
            <w:r>
              <w:rPr>
                <w:lang w:val="fr-FR"/>
              </w:rPr>
              <w:t>2 2/3</w:t>
            </w:r>
          </w:p>
          <w:p>
            <w:pPr>
              <w:pStyle w:val="T4dispositie"/>
              <w:rPr>
                <w:lang w:val="fr-FR"/>
              </w:rPr>
            </w:pPr>
            <w:r>
              <w:rPr>
                <w:lang w:val="fr-FR"/>
              </w:rPr>
              <w:t>1 3/5</w:t>
            </w:r>
          </w:p>
        </w:tc>
      </w:tr>
    </w:tbl>
    <w:p>
      <w:pPr>
        <w:pStyle w:val="Normal"/>
        <w:rPr>
          <w:rFonts w:ascii="Times New Roman" w:hAnsi="Times New Roman" w:cs="Times New Roman"/>
          <w:szCs w:val="24"/>
          <w:lang w:val="fr-FR"/>
        </w:rPr>
      </w:pPr>
      <w:r>
        <w:rPr>
          <w:rFonts w:cs="Times New Roman" w:ascii="Times New Roman" w:hAnsi="Times New Roman"/>
          <w:szCs w:val="24"/>
          <w:lang w:val="fr-FR"/>
        </w:rPr>
      </w:r>
    </w:p>
    <w:tbl>
      <w:tblPr>
        <w:tblW w:w="3380" w:type="dxa"/>
        <w:jc w:val="start"/>
        <w:tblInd w:w="-70" w:type="dxa"/>
        <w:tblLayout w:type="fixed"/>
        <w:tblCellMar>
          <w:top w:w="0" w:type="dxa"/>
          <w:start w:w="70" w:type="dxa"/>
          <w:bottom w:w="0" w:type="dxa"/>
          <w:end w:w="70" w:type="dxa"/>
        </w:tblCellMar>
      </w:tblPr>
      <w:tblGrid>
        <w:gridCol w:w="1510"/>
        <w:gridCol w:w="540"/>
        <w:gridCol w:w="583"/>
        <w:gridCol w:w="747"/>
      </w:tblGrid>
      <w:tr>
        <w:trPr/>
        <w:tc>
          <w:tcPr>
            <w:tcW w:w="1510" w:type="dxa"/>
            <w:tcBorders/>
          </w:tcPr>
          <w:p>
            <w:pPr>
              <w:pStyle w:val="Normal"/>
              <w:rPr>
                <w:rFonts w:ascii="Times New Roman" w:hAnsi="Times New Roman" w:cs="Times New Roman"/>
                <w:szCs w:val="24"/>
              </w:rPr>
            </w:pPr>
            <w:r>
              <w:rPr>
                <w:rFonts w:cs="Times New Roman" w:ascii="Times New Roman" w:hAnsi="Times New Roman"/>
                <w:szCs w:val="24"/>
              </w:rPr>
              <w:t>Scherp RP</w:t>
            </w:r>
          </w:p>
        </w:tc>
        <w:tc>
          <w:tcPr>
            <w:tcW w:w="540"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583"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47"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regulateurs</w:t>
      </w:r>
    </w:p>
    <w:p>
      <w:pPr>
        <w:pStyle w:val="T1"/>
        <w:jc w:val="start"/>
        <w:rPr>
          <w:lang w:val="nl-NL"/>
        </w:rPr>
      </w:pPr>
      <w:r>
        <w:rPr>
          <w:lang w:val="nl-NL"/>
        </w:rPr>
        <w:t>Winddruk</w:t>
      </w:r>
    </w:p>
    <w:p>
      <w:pPr>
        <w:pStyle w:val="T1"/>
        <w:jc w:val="start"/>
        <w:rPr>
          <w:lang w:val="nl-NL"/>
        </w:rPr>
      </w:pPr>
      <w:r>
        <w:rPr>
          <w:lang w:val="nl-NL"/>
        </w:rPr>
        <w:t>68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Normal"/>
        <w:rPr>
          <w:rFonts w:ascii="Times New Roman" w:hAnsi="Times New Roman" w:cs="Times New Roman"/>
        </w:rPr>
      </w:pPr>
      <w:r>
        <w:rPr>
          <w:rFonts w:cs="Times New Roman" w:ascii="Times New Roman" w:hAnsi="Times New Roman"/>
        </w:rPr>
        <w:t>Het orgel is gebouwd onder advies van J.C. Hanegraaf en A. de Ru namens de orgelbouwadviescommissie van de Gereformeerde Organisten Vereniging. Aanvankelijk was het de bedoeling om de windlade en het pijpwerk van het in de oude kerk aanwezige orgel opnieuw te gebruiken. Uiteindelijk is in 1969 besloten alle pijpwerk nieuw te maken.</w:t>
      </w:r>
    </w:p>
    <w:p>
      <w:pPr>
        <w:pStyle w:val="Normal"/>
        <w:rPr/>
      </w:pPr>
      <w:r>
        <w:rPr>
          <w:rFonts w:cs="Times New Roman" w:ascii="Times New Roman" w:hAnsi="Times New Roman"/>
        </w:rPr>
        <w:t>De Prestant 8' is van C-Fis gecombineerd met de Roerfluit 8'. De Gemshoorn 4' is geheel conisch. De Roerfluit 4' van het BoW is van C-f</w:t>
      </w:r>
      <w:r>
        <w:rPr>
          <w:rFonts w:cs="Times New Roman" w:ascii="Times New Roman" w:hAnsi="Times New Roman"/>
          <w:vertAlign w:val="superscript"/>
        </w:rPr>
        <w:t>2</w:t>
      </w:r>
      <w:r>
        <w:rPr>
          <w:rFonts w:cs="Times New Roman" w:ascii="Times New Roman" w:hAnsi="Times New Roman"/>
        </w:rPr>
        <w:t xml:space="preserve"> voorzien van roeren en verder open, conisch. De Nasard 1 1/3' is conisch. De Subbas 16' is van mahonie. De kelen, tongen en krukken zijn vervaardigd door de firma Giesecke. Bij de Trompet en de Dulciaan zijn de kelen van C-f voorzien van tinbeleg; bij de Fagot zijn alle kelen van tinbeleg voorzien.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2010-03-23T17:52:00Z</dcterms:created>
  <dc:creator>WS1</dc:creator>
  <dc:description/>
  <dc:language>en-US</dc:language>
  <cp:lastModifiedBy>Hans Steketee</cp:lastModifiedBy>
  <dcterms:modified xsi:type="dcterms:W3CDTF">2010-03-23T17:52:00Z</dcterms:modified>
  <cp:revision>2</cp:revision>
  <dc:subject/>
  <dc:title>Zeeland / 1895</dc:title>
</cp:coreProperties>
</file>