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Goor / 1970</w:t>
      </w:r>
    </w:p>
    <w:p>
      <w:pPr>
        <w:pStyle w:val="Heading1"/>
        <w:rPr/>
      </w:pPr>
      <w:r>
        <w:rPr/>
        <w:t>Hofkerk</w:t>
      </w:r>
    </w:p>
    <w:p>
      <w:pPr>
        <w:pStyle w:val="T1"/>
        <w:jc w:val="start"/>
        <w:rPr>
          <w:i/>
          <w:i/>
          <w:iCs/>
        </w:rPr>
      </w:pPr>
      <w:r>
        <w:rPr>
          <w:i/>
          <w:iCs/>
        </w:rPr>
      </w:r>
    </w:p>
    <w:p>
      <w:pPr>
        <w:pStyle w:val="T1"/>
        <w:jc w:val="start"/>
        <w:rPr/>
      </w:pPr>
      <w:r>
        <w:rPr>
          <w:rFonts w:cs="Times" w:ascii="Times" w:hAnsi="Times"/>
          <w:i/>
          <w:iCs/>
          <w:lang w:val="nl-NL"/>
        </w:rPr>
        <w:t xml:space="preserve">In veel etappes zijn kerk en toren tot ca 1500 ontstaan. </w:t>
      </w:r>
      <w:r>
        <w:rPr>
          <w:rFonts w:cs="Times" w:ascii="Times" w:hAnsi="Times"/>
          <w:i/>
          <w:iCs/>
        </w:rPr>
        <w:t xml:space="preserve">In 1566 is de (thans nog aanwezige) grafkelder gemaakt voor de familie Ripperda. </w:t>
      </w:r>
      <w:r>
        <w:rPr>
          <w:rFonts w:cs="Times" w:ascii="Times" w:hAnsi="Times"/>
          <w:i/>
          <w:iCs/>
          <w:lang w:val="nl-NL"/>
        </w:rPr>
        <w:t>Een nog oudere grafkelder is bij een latere verbouwing van de kerk afgebroken. In de periode ca 1740-‘50 is de kerk aan de Oostzijde vergroot. In 1854-‘55 is het kerkgebouw naar het Noorden uitgebreid.</w:t>
      </w:r>
    </w:p>
    <w:p>
      <w:pPr>
        <w:pStyle w:val="T1"/>
        <w:jc w:val="start"/>
        <w:rPr/>
      </w:pPr>
      <w:r>
        <w:rPr>
          <w:rFonts w:cs="Times" w:ascii="Times" w:hAnsi="Times"/>
          <w:i/>
          <w:iCs/>
          <w:lang w:val="nl-NL"/>
        </w:rPr>
        <w:t xml:space="preserve">De preekstoel (niet de voet) is uit de 17e eeuw. Zeer recent is het gehele interieur der kerk gemoderniseerd en anders ingedeeld. </w:t>
      </w:r>
      <w:r>
        <w:rPr>
          <w:rFonts w:cs="Times" w:ascii="Times" w:hAnsi="Times"/>
          <w:i/>
          <w:iCs/>
        </w:rPr>
        <w:t xml:space="preserve">De oude preekstoel is nog aanwezig, maar buiten gebruik. Ook het orgel uit 1970 is gehandhaafd, zij het dat de orgelgalerij is verkleind. </w:t>
      </w:r>
      <w:r>
        <w:rPr>
          <w:rFonts w:cs="Times" w:ascii="Times" w:hAnsi="Times"/>
          <w:i/>
          <w:iCs/>
          <w:lang w:val="nl-NL"/>
        </w:rPr>
        <w:t>In een bijruimte is een glas in lood raam aangebracht, afkomstig uit de buiten gebruik gestelde Gereformeerde Kerk.</w:t>
      </w:r>
    </w:p>
    <w:p>
      <w:pPr>
        <w:pStyle w:val="T1"/>
        <w:jc w:val="start"/>
        <w:rPr>
          <w:rFonts w:ascii="Times" w:hAnsi="Times" w:cs="Times"/>
          <w:i/>
          <w:i/>
          <w:iCs/>
          <w:lang w:val="nl-NL"/>
        </w:rPr>
      </w:pPr>
      <w:r>
        <w:rPr>
          <w:rFonts w:cs="Times" w:ascii="Times" w:hAnsi="Times"/>
          <w:i/>
          <w:iCs/>
          <w:lang w:val="nl-NL"/>
        </w:rPr>
      </w:r>
    </w:p>
    <w:p>
      <w:pPr>
        <w:pStyle w:val="T1"/>
        <w:jc w:val="start"/>
        <w:rPr>
          <w:lang w:val="nl-NL"/>
        </w:rPr>
      </w:pPr>
      <w:r>
        <w:rPr>
          <w:lang w:val="nl-NL"/>
        </w:rPr>
        <w:t>Kas: 1970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Bij de bouw van dit orgel is men ervan uitgegaan een instrument te maken, dat in zijn uiterlijke verschijningsvorm herinneringen zou oproepen aan de 18e-eeuwse instrumenten in Westfalen. </w:t>
      </w:r>
      <w:r>
        <w:rPr/>
        <w:t xml:space="preserve">Tot dit doel liet de adviseur bij de bouw van dit orgel de orgelmaker meerdere ontwerptekeningen maken. </w:t>
      </w:r>
      <w:r>
        <w:rPr>
          <w:lang w:val="nl-NL"/>
        </w:rPr>
        <w:t>Het is duidelijk dat men niet een exacte kopie wilde maken van een der bekende kleinere Westfaalse orgels, zoals die in Zwillbrock, Beckum, Nottuln of Aalten (deel 1769-1790, 258). Sommige van deze instrumenten suggereren ver in de hoogte uitgebouwde kassen, veroorzaakt door de grote kappen van de middentorens en de zich daar boven bevindende bekroningen (voor zover die nog aanwezig zijn). Dat alles is in Goor niet het geval en zou hier ook door de geringere hoogte van de kerk niet mogelijk zijn.</w:t>
      </w:r>
    </w:p>
    <w:p>
      <w:pPr>
        <w:pStyle w:val="T2Kunst"/>
        <w:jc w:val="start"/>
        <w:rPr/>
      </w:pPr>
      <w:r>
        <w:rPr>
          <w:lang w:val="nl-NL"/>
        </w:rPr>
        <w:t xml:space="preserve">Opvallend in veel van deze Westfaalse instrumenten is het feit dat in plaats van de gebruikelijke tussenvelden in het front zich de spits vooruitstekende pijpgroepen bevinden, gewoonlijk tweedelig, tussen de middentoren en beide zijtorens. </w:t>
      </w:r>
      <w:r>
        <w:rPr/>
        <w:t xml:space="preserve">Daarbij staat de grootste pijp altijd in het midden, zodat tertsenopstelling ontstaat. Er bevinden zich dan brede lijsten tussen de verschillende pijpengroepen in het front. </w:t>
      </w:r>
      <w:r>
        <w:rPr>
          <w:lang w:val="nl-NL"/>
        </w:rPr>
        <w:t xml:space="preserve">In Goor zijn de spitse ‘torentjes’ aan de bovenzijde eigenlijk de enige elementen die aan Westfaalse voorbeelden herinneren. Verder is de opbouw van het orgel in Goor eerder gelijkend op die der Nederlandse orgels uit 1970, waarbij dan wel opgemerkt dient te worden dat hier - veel meer dan gebruikelijk in die dagen - zorg is besteed aan veel details, waaronder het snijwerk, de aanwezigheid van bladgoud en bij de klaviatuur: de bakstukken en de registerknoppen. </w:t>
      </w:r>
      <w:r>
        <w:rPr/>
        <w:t>Zijvleugels ontbreken aan de kas. De rugwerkkas is geheel anders ingedeeld als de hoofdwerkkas.</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bCs/>
          <w:i/>
          <w:iCs/>
          <w:lang w:val="nl-NL"/>
        </w:rPr>
        <w:t xml:space="preserve">Het Orgel, </w:t>
      </w:r>
      <w:r>
        <w:rPr>
          <w:bCs/>
          <w:lang w:val="nl-NL"/>
        </w:rPr>
        <w:t>65/1 (1969), ..; 66/4 (1970), 101, 109.</w:t>
      </w:r>
    </w:p>
    <w:p>
      <w:pPr>
        <w:pStyle w:val="T3Lit"/>
        <w:jc w:val="start"/>
        <w:rPr/>
      </w:pPr>
      <w:r>
        <w:rPr>
          <w:bCs/>
          <w:i/>
          <w:iCs/>
          <w:lang w:val="nl-NL"/>
        </w:rPr>
        <w:t>De Orgelvriend</w:t>
      </w:r>
      <w:r>
        <w:rPr>
          <w:bCs/>
          <w:lang w:val="nl-NL"/>
        </w:rPr>
        <w:t>, 15/2 (1973), 18.</w:t>
      </w:r>
    </w:p>
    <w:p>
      <w:pPr>
        <w:pStyle w:val="T3Lit"/>
        <w:jc w:val="start"/>
        <w:rPr>
          <w:bCs/>
          <w:lang w:val="nl-NL"/>
        </w:rPr>
      </w:pPr>
      <w:r>
        <w:rPr>
          <w:bCs/>
          <w:lang w:val="nl-NL"/>
        </w:rPr>
      </w:r>
    </w:p>
    <w:p>
      <w:pPr>
        <w:pStyle w:val="T3Lit"/>
        <w:jc w:val="start"/>
        <w:rPr>
          <w:bCs/>
          <w:lang w:val="nl-NL"/>
        </w:rPr>
      </w:pPr>
      <w:r>
        <w:rPr>
          <w:bCs/>
          <w:lang w:val="nl-NL"/>
        </w:rPr>
        <w:t>Monumentnummer 16532</w:t>
      </w:r>
    </w:p>
    <w:p>
      <w:pPr>
        <w:pStyle w:val="T3Lit"/>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H.J. Vierdag</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1970</w:t>
      </w:r>
    </w:p>
    <w:p>
      <w:pPr>
        <w:pStyle w:val="T1"/>
        <w:jc w:val="start"/>
        <w:rPr>
          <w:lang w:val="nl-NL"/>
        </w:rPr>
      </w:pPr>
      <w:r>
        <w:rPr>
          <w:lang w:val="nl-NL"/>
        </w:rPr>
      </w:r>
    </w:p>
    <w:p>
      <w:pPr>
        <w:pStyle w:val="T1"/>
        <w:jc w:val="start"/>
        <w:rPr/>
      </w:pPr>
      <w:r>
        <w:rPr/>
        <w:t>B.A.G. 1992</w:t>
      </w:r>
    </w:p>
    <w:p>
      <w:pPr>
        <w:pStyle w:val="T1"/>
        <w:numPr>
          <w:ilvl w:val="0"/>
          <w:numId w:val="2"/>
        </w:numPr>
        <w:jc w:val="start"/>
        <w:rPr/>
      </w:pPr>
      <w:r>
        <w:rPr/>
        <w:t>Ped + Schalmei 4'</w:t>
      </w:r>
    </w:p>
    <w:p>
      <w:pPr>
        <w:pStyle w:val="T1"/>
        <w:jc w:val="start"/>
        <w:rPr/>
      </w:pPr>
      <w:r>
        <w:rPr/>
      </w:r>
    </w:p>
    <w:p>
      <w:pPr>
        <w:pStyle w:val="T1"/>
        <w:jc w:val="start"/>
        <w:rPr>
          <w:lang w:val="nl-NL"/>
        </w:rPr>
      </w:pPr>
      <w:r>
        <w:rPr>
          <w:lang w:val="nl-NL"/>
        </w:rPr>
        <w:t>I. Boogaard 2007</w:t>
      </w:r>
    </w:p>
    <w:p>
      <w:pPr>
        <w:pStyle w:val="T1"/>
        <w:numPr>
          <w:ilvl w:val="0"/>
          <w:numId w:val="2"/>
        </w:numPr>
        <w:jc w:val="start"/>
        <w:rPr>
          <w:lang w:val="nl-NL"/>
        </w:rPr>
      </w:pPr>
      <w:r>
        <w:rPr>
          <w:lang w:val="nl-NL"/>
        </w:rPr>
        <w:t>schoonmaak en herstel</w:t>
      </w:r>
    </w:p>
    <w:p>
      <w:pPr>
        <w:pStyle w:val="T1"/>
        <w:numPr>
          <w:ilvl w:val="0"/>
          <w:numId w:val="2"/>
        </w:numPr>
        <w:jc w:val="start"/>
        <w:rPr>
          <w:lang w:val="nl-NL"/>
        </w:rPr>
      </w:pPr>
      <w:r>
        <w:rPr>
          <w:lang w:val="nl-NL"/>
        </w:rPr>
        <w:t>hoogste koor Mixtuur stom gemaakt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6872" w:type="dxa"/>
        <w:jc w:val="start"/>
        <w:tblInd w:w="-70" w:type="dxa"/>
        <w:tblLayout w:type="fixed"/>
        <w:tblCellMar>
          <w:top w:w="0" w:type="dxa"/>
          <w:start w:w="70" w:type="dxa"/>
          <w:bottom w:w="0" w:type="dxa"/>
          <w:end w:w="70" w:type="dxa"/>
        </w:tblCellMar>
      </w:tblPr>
      <w:tblGrid>
        <w:gridCol w:w="1510"/>
        <w:gridCol w:w="900"/>
        <w:gridCol w:w="1620"/>
        <w:gridCol w:w="811"/>
        <w:gridCol w:w="1643"/>
        <w:gridCol w:w="388"/>
      </w:tblGrid>
      <w:tr>
        <w:trPr/>
        <w:tc>
          <w:tcPr>
            <w:tcW w:w="1510" w:type="dxa"/>
            <w:tcBorders/>
          </w:tcPr>
          <w:p>
            <w:pPr>
              <w:pStyle w:val="T4dispositie"/>
              <w:rPr>
                <w:i/>
                <w:i/>
                <w:iCs/>
                <w:lang w:val="nl-NL"/>
              </w:rPr>
            </w:pPr>
            <w:r>
              <w:rPr>
                <w:i/>
                <w:iCs/>
                <w:lang w:val="nl-NL"/>
              </w:rPr>
              <w:t>Hoofdwerk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Speelfluit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pPr>
            <w:r>
              <w:rPr/>
              <w:t>4'</w:t>
            </w:r>
          </w:p>
          <w:p>
            <w:pPr>
              <w:pStyle w:val="T4dispositie"/>
              <w:rPr/>
            </w:pPr>
            <w:r>
              <w:rPr/>
              <w:t>2'</w:t>
            </w:r>
          </w:p>
          <w:p>
            <w:pPr>
              <w:pStyle w:val="T4dispositie"/>
              <w:rPr/>
            </w:pPr>
            <w:r>
              <w:rPr/>
              <w:t>4-6 st.</w:t>
            </w:r>
          </w:p>
          <w:p>
            <w:pPr>
              <w:pStyle w:val="T4dispositie"/>
              <w:rPr>
                <w:lang w:val="nl-NL"/>
              </w:rPr>
            </w:pPr>
            <w:r>
              <w:rPr>
                <w:lang w:val="nl-NL"/>
              </w:rPr>
              <w:t>8'</w:t>
            </w:r>
          </w:p>
        </w:tc>
        <w:tc>
          <w:tcPr>
            <w:tcW w:w="1620" w:type="dxa"/>
            <w:tcBorders/>
          </w:tcPr>
          <w:p>
            <w:pPr>
              <w:pStyle w:val="T4dispositie"/>
              <w:rPr>
                <w:i/>
                <w:i/>
                <w:iCs/>
                <w:lang w:val="nl-NL"/>
              </w:rPr>
            </w:pPr>
            <w:r>
              <w:rPr>
                <w:i/>
                <w:iCs/>
                <w:lang w:val="nl-NL"/>
              </w:rPr>
              <w:t>Rugpositief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Gedekt</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Gemshoorn</w:t>
            </w:r>
          </w:p>
          <w:p>
            <w:pPr>
              <w:pStyle w:val="T4dispositie"/>
              <w:rPr>
                <w:lang w:val="nl-NL"/>
              </w:rPr>
            </w:pPr>
            <w:r>
              <w:rPr>
                <w:lang w:val="nl-NL"/>
              </w:rPr>
              <w:t>Nassard</w:t>
            </w:r>
          </w:p>
          <w:p>
            <w:pPr>
              <w:pStyle w:val="T4dispositie"/>
              <w:rPr>
                <w:lang w:val="nl-NL"/>
              </w:rPr>
            </w:pPr>
            <w:r>
              <w:rPr>
                <w:lang w:val="nl-NL"/>
              </w:rPr>
              <w:t>Sesquialtera</w:t>
            </w:r>
          </w:p>
          <w:p>
            <w:pPr>
              <w:pStyle w:val="T4dispositie"/>
              <w:rPr>
                <w:lang w:val="nl-NL"/>
              </w:rPr>
            </w:pPr>
            <w:r>
              <w:rPr>
                <w:lang w:val="nl-NL"/>
              </w:rPr>
              <w:t>Scherp</w:t>
            </w:r>
          </w:p>
          <w:p>
            <w:pPr>
              <w:pStyle w:val="T4dispositie"/>
              <w:rPr>
                <w:lang w:val="nl-NL"/>
              </w:rPr>
            </w:pPr>
            <w:r>
              <w:rPr>
                <w:lang w:val="nl-NL"/>
              </w:rPr>
              <w:t>Dulciaan</w:t>
            </w:r>
          </w:p>
        </w:tc>
        <w:tc>
          <w:tcPr>
            <w:tcW w:w="81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r>
              <w:rPr/>
              <w:t>'</w:t>
            </w:r>
          </w:p>
          <w:p>
            <w:pPr>
              <w:pStyle w:val="T4dispositie"/>
              <w:rPr>
                <w:lang w:val="nl-NL"/>
              </w:rPr>
            </w:pPr>
            <w:r>
              <w:rPr>
                <w:lang w:val="nl-NL"/>
              </w:rPr>
              <w:t>2 st.</w:t>
            </w:r>
          </w:p>
          <w:p>
            <w:pPr>
              <w:pStyle w:val="T4dispositie"/>
              <w:rPr>
                <w:lang w:val="nl-NL"/>
              </w:rPr>
            </w:pPr>
            <w:r>
              <w:rPr>
                <w:lang w:val="nl-NL"/>
              </w:rPr>
              <w:t>4 st.</w:t>
            </w:r>
          </w:p>
          <w:p>
            <w:pPr>
              <w:pStyle w:val="T4dispositie"/>
              <w:rPr>
                <w:lang w:val="nl-NL"/>
              </w:rPr>
            </w:pPr>
            <w:r>
              <w:rPr>
                <w:lang w:val="nl-NL"/>
              </w:rPr>
              <w:t>8'</w:t>
            </w:r>
          </w:p>
        </w:tc>
        <w:tc>
          <w:tcPr>
            <w:tcW w:w="1643" w:type="dxa"/>
            <w:tcBorders/>
          </w:tcPr>
          <w:p>
            <w:pPr>
              <w:pStyle w:val="T4dispositie"/>
              <w:rPr>
                <w:i/>
                <w:i/>
                <w:iCs/>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Octaaf</w:t>
            </w:r>
          </w:p>
          <w:p>
            <w:pPr>
              <w:pStyle w:val="T4dispositie"/>
              <w:rPr>
                <w:lang w:val="nl-NL"/>
              </w:rPr>
            </w:pPr>
            <w:r>
              <w:rPr>
                <w:lang w:val="nl-NL"/>
              </w:rPr>
              <w:t>Bazuin</w:t>
            </w:r>
          </w:p>
          <w:p>
            <w:pPr>
              <w:pStyle w:val="T4dispositie"/>
              <w:rPr>
                <w:lang w:val="nl-NL"/>
              </w:rPr>
            </w:pPr>
            <w:r>
              <w:rPr>
                <w:lang w:val="nl-NL"/>
              </w:rPr>
              <w:t>Schalmei</w:t>
            </w:r>
          </w:p>
        </w:tc>
        <w:tc>
          <w:tcPr>
            <w:tcW w:w="3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pPr>
            <w:r>
              <w:rPr>
                <w:lang w:val="nl-NL"/>
              </w:rPr>
              <w:t>16</w:t>
            </w:r>
            <w:r>
              <w:rPr/>
              <w:t>'</w:t>
            </w:r>
          </w:p>
          <w:p>
            <w:pPr>
              <w:pStyle w:val="T4dispositie"/>
              <w:rPr>
                <w:lang w:val="nl-NL"/>
              </w:rPr>
            </w:pPr>
            <w:r>
              <w:rPr/>
              <w:t>4'</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Ped-HW, Ped-RP</w:t>
      </w:r>
    </w:p>
    <w:p>
      <w:pPr>
        <w:pStyle w:val="T1"/>
        <w:jc w:val="start"/>
        <w:rPr/>
      </w:pPr>
      <w:r>
        <w:rPr/>
        <w:t>tremulant RP</w:t>
      </w:r>
    </w:p>
    <w:p>
      <w:pPr>
        <w:pStyle w:val="T1"/>
        <w:jc w:val="start"/>
        <w:rPr/>
      </w:pPr>
      <w:r>
        <w:rPr/>
      </w:r>
    </w:p>
    <w:p>
      <w:pPr>
        <w:pStyle w:val="T1"/>
        <w:jc w:val="start"/>
        <w:rPr>
          <w:lang w:val="nl-NL"/>
        </w:rPr>
      </w:pPr>
      <w:r>
        <w:rPr>
          <w:lang w:val="nl-NL"/>
        </w:rPr>
        <w:t>Samenstelling vulstemmen</w:t>
      </w:r>
    </w:p>
    <w:tbl>
      <w:tblPr>
        <w:tblW w:w="5086" w:type="dxa"/>
        <w:jc w:val="start"/>
        <w:tblInd w:w="-70" w:type="dxa"/>
        <w:tblLayout w:type="fixed"/>
        <w:tblCellMar>
          <w:top w:w="0" w:type="dxa"/>
          <w:start w:w="70" w:type="dxa"/>
          <w:bottom w:w="0" w:type="dxa"/>
          <w:end w:w="70" w:type="dxa"/>
        </w:tblCellMar>
      </w:tblPr>
      <w:tblGrid>
        <w:gridCol w:w="1474"/>
        <w:gridCol w:w="718"/>
        <w:gridCol w:w="729"/>
        <w:gridCol w:w="729"/>
        <w:gridCol w:w="718"/>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gis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tbl>
      <w:tblPr>
        <w:tblW w:w="2950" w:type="dxa"/>
        <w:jc w:val="start"/>
        <w:tblInd w:w="-70" w:type="dxa"/>
        <w:tblLayout w:type="fixed"/>
        <w:tblCellMar>
          <w:top w:w="0" w:type="dxa"/>
          <w:start w:w="70" w:type="dxa"/>
          <w:bottom w:w="0" w:type="dxa"/>
          <w:end w:w="70" w:type="dxa"/>
        </w:tblCellMar>
      </w:tblPr>
      <w:tblGrid>
        <w:gridCol w:w="1690"/>
        <w:gridCol w:w="720"/>
        <w:gridCol w:w="540"/>
      </w:tblGrid>
      <w:tr>
        <w:trPr/>
        <w:tc>
          <w:tcPr>
            <w:tcW w:w="1690" w:type="dxa"/>
            <w:tcBorders/>
          </w:tcPr>
          <w:p>
            <w:pPr>
              <w:pStyle w:val="T1"/>
              <w:jc w:val="start"/>
              <w:rPr>
                <w:lang w:val="fr-FR"/>
              </w:rPr>
            </w:pPr>
            <w:r>
              <w:rPr>
                <w:lang w:val="fr-FR"/>
              </w:rPr>
              <w:t>Sesquialtera RP</w:t>
            </w:r>
          </w:p>
        </w:tc>
        <w:tc>
          <w:tcPr>
            <w:tcW w:w="720" w:type="dxa"/>
            <w:tcBorders/>
          </w:tcPr>
          <w:p>
            <w:pPr>
              <w:pStyle w:val="T4dispositie"/>
              <w:rPr/>
            </w:pPr>
            <w:r>
              <w:rPr/>
              <w:t>C</w:t>
            </w:r>
          </w:p>
          <w:p>
            <w:pPr>
              <w:pStyle w:val="T4dispositie"/>
              <w:rPr/>
            </w:pPr>
            <w:r>
              <w:rPr/>
              <w:t>1 1/3</w:t>
            </w:r>
          </w:p>
          <w:p>
            <w:pPr>
              <w:pStyle w:val="T4dispositie"/>
              <w:rPr/>
            </w:pPr>
            <w:r>
              <w:rPr/>
              <w:t>4/5</w:t>
            </w:r>
          </w:p>
        </w:tc>
        <w:tc>
          <w:tcPr>
            <w:tcW w:w="540" w:type="dxa"/>
            <w:tcBorders/>
          </w:tcPr>
          <w:p>
            <w:pPr>
              <w:pStyle w:val="T4dispositie"/>
              <w:rPr/>
            </w:pPr>
            <w:r>
              <w:rPr/>
              <w:t>g</w:t>
            </w:r>
          </w:p>
          <w:p>
            <w:pPr>
              <w:pStyle w:val="T4dispositie"/>
              <w:rPr/>
            </w:pPr>
            <w:r>
              <w:rPr/>
              <w:t>2 2/3</w:t>
            </w:r>
          </w:p>
          <w:p>
            <w:pPr>
              <w:pStyle w:val="T4dispositie"/>
              <w:rPr/>
            </w:pPr>
            <w:r>
              <w:rPr/>
              <w:t>1 3/5</w:t>
            </w:r>
          </w:p>
        </w:tc>
      </w:tr>
    </w:tbl>
    <w:p>
      <w:pPr>
        <w:pStyle w:val="T1"/>
        <w:jc w:val="start"/>
        <w:rPr>
          <w:lang w:val="fr-FR"/>
        </w:rPr>
      </w:pPr>
      <w:r>
        <w:rPr>
          <w:lang w:val="fr-FR"/>
        </w:rPr>
      </w:r>
    </w:p>
    <w:tbl>
      <w:tblPr>
        <w:tblW w:w="5086" w:type="dxa"/>
        <w:jc w:val="start"/>
        <w:tblInd w:w="-70" w:type="dxa"/>
        <w:tblLayout w:type="fixed"/>
        <w:tblCellMar>
          <w:top w:w="0" w:type="dxa"/>
          <w:start w:w="70" w:type="dxa"/>
          <w:bottom w:w="0" w:type="dxa"/>
          <w:end w:w="70" w:type="dxa"/>
        </w:tblCellMar>
      </w:tblPr>
      <w:tblGrid>
        <w:gridCol w:w="1474"/>
        <w:gridCol w:w="729"/>
        <w:gridCol w:w="729"/>
        <w:gridCol w:w="718"/>
        <w:gridCol w:w="718"/>
        <w:gridCol w:w="718"/>
      </w:tblGrid>
      <w:tr>
        <w:trPr/>
        <w:tc>
          <w:tcPr>
            <w:tcW w:w="1474" w:type="dxa"/>
            <w:tcBorders/>
          </w:tcPr>
          <w:p>
            <w:pPr>
              <w:pStyle w:val="T1"/>
              <w:jc w:val="start"/>
              <w:rPr>
                <w:lang w:val="nl-NL"/>
              </w:rPr>
            </w:pPr>
            <w:r>
              <w:rPr>
                <w:lang w:val="nl-NL"/>
              </w:rPr>
              <w:t>Scherp RP</w:t>
            </w:r>
          </w:p>
        </w:tc>
        <w:tc>
          <w:tcPr>
            <w:tcW w:w="729"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29"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voorbalg met beweegbare ladebodems</w:t>
      </w:r>
    </w:p>
    <w:p>
      <w:pPr>
        <w:pStyle w:val="T1"/>
        <w:jc w:val="start"/>
        <w:rPr>
          <w:lang w:val="nl-NL"/>
        </w:rPr>
      </w:pPr>
      <w:r>
        <w:rPr>
          <w:lang w:val="nl-NL"/>
        </w:rPr>
        <w:t>Winddruk</w:t>
      </w:r>
    </w:p>
    <w:p>
      <w:pPr>
        <w:pStyle w:val="T1"/>
        <w:jc w:val="start"/>
        <w:rPr/>
      </w:pPr>
      <w:r>
        <w:rPr/>
        <w:t xml:space="preserve">HW 78 mm, RP 74 mm. </w:t>
      </w:r>
      <w:r>
        <w:rPr>
          <w:lang w:val="nl-NL"/>
        </w:rPr>
        <w:t>Ped 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De orgelkassen zijn van eiken. De kas van het Ped staat achter de hoofdkas.</w:t>
      </w:r>
    </w:p>
    <w:p>
      <w:pPr>
        <w:pStyle w:val="T1"/>
        <w:jc w:val="start"/>
        <w:rPr>
          <w:lang w:val="nl-NL"/>
        </w:rPr>
      </w:pPr>
      <w:r>
        <w:rPr>
          <w:lang w:val="nl-NL"/>
        </w:rPr>
        <w:t>De klavieren zijn uitgevoerd als balansklavier. De bakstukken en registerknoppen zijn uit een zeer harde tropische houtsoort gemaakt.</w:t>
      </w:r>
    </w:p>
    <w:p>
      <w:pPr>
        <w:pStyle w:val="T1"/>
        <w:jc w:val="start"/>
        <w:rPr>
          <w:lang w:val="nl-NL"/>
        </w:rPr>
      </w:pPr>
      <w:r>
        <w:rPr>
          <w:lang w:val="nl-NL"/>
        </w:rPr>
        <w:t>De indeling van de laden van HW en RP is volgens hetzelfde principe als in de fronten: in tertsenopstelling Bij de HW-lade is een stemklavier aangebracht.</w:t>
      </w:r>
    </w:p>
    <w:p>
      <w:pPr>
        <w:pStyle w:val="T1"/>
        <w:jc w:val="start"/>
        <w:rPr>
          <w:lang w:val="nl-NL"/>
        </w:rPr>
      </w:pPr>
      <w:r>
        <w:rPr>
          <w:lang w:val="nl-NL"/>
        </w:rPr>
        <w:t>Het metalen pijpwerk is niet gehamerd. Alle gedekte pijpen hebben beweegbare hoeden.</w:t>
      </w:r>
    </w:p>
    <w:p>
      <w:pPr>
        <w:pStyle w:val="T1"/>
        <w:jc w:val="start"/>
        <w:rPr>
          <w:lang w:val="nl-NL"/>
        </w:rPr>
      </w:pPr>
      <w:r>
        <w:rPr>
          <w:lang w:val="nl-NL"/>
        </w:rPr>
        <w:t>De Prestant 8' staat deels in het front; C en Cis zijn open binnenpijpen. C-H van de Roerfluit 8' zijn van hout, gedekt. De Speelfluit 4' is geheel open, conisch. Voor de Trompet 8' is een stevelblok aanwezig.</w:t>
      </w:r>
    </w:p>
    <w:p>
      <w:pPr>
        <w:pStyle w:val="T1"/>
        <w:jc w:val="start"/>
        <w:rPr>
          <w:lang w:val="nl-NL"/>
        </w:rPr>
      </w:pPr>
      <w:r>
        <w:rPr>
          <w:lang w:val="nl-NL"/>
        </w:rPr>
        <w:t>C-H van de Gedekt 8' (RP) zijn van hout. De Prestant 4' staat deels in het front. De Gemshoorn 2' is geheel conisch, open. Voor de Dulciaan 8' is een stevelblok aanwezig.</w:t>
      </w:r>
    </w:p>
    <w:p>
      <w:pPr>
        <w:pStyle w:val="T1"/>
        <w:jc w:val="start"/>
        <w:rPr>
          <w:lang w:val="nl-NL"/>
        </w:rPr>
      </w:pPr>
      <w:r>
        <w:rPr>
          <w:lang w:val="nl-NL"/>
        </w:rPr>
        <w:t>De Bourdon 16' (Ped) is van hout. C-Dis staan achter de pedaalkas. Voor de Bazuin 16' is een houten stevelblok aanwezig. De bekers staan in koperen schachten. De in 1992 geplaatste Schalmei 4' heeft metalen stevels.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94"/>
        </w:tabs>
        <w:ind w:start="794"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rPr>
  </w:style>
  <w:style w:type="character" w:styleId="WW8Num2z1">
    <w:name w:val="WW8Num2z1"/>
    <w:qFormat/>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2z4">
    <w:name w:val="WW8Num2z4"/>
    <w:qFormat/>
    <w:rPr>
      <w:rFonts w:ascii="Courier New" w:hAnsi="Courier New" w:cs="Courier New"/>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2010-03-23T18:17:00Z</dcterms:created>
  <dc:creator>WS1</dc:creator>
  <dc:description/>
  <dc:language>en-US</dc:language>
  <cp:lastModifiedBy>NIvO</cp:lastModifiedBy>
  <dcterms:modified xsi:type="dcterms:W3CDTF">2010-03-23T19:01:00Z</dcterms:modified>
  <cp:revision>4</cp:revision>
  <dc:subject/>
  <dc:title>Heumen / ca 1860</dc:title>
</cp:coreProperties>
</file>