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B3B83" w14:textId="77777777" w:rsidR="00846383" w:rsidRDefault="00000000">
      <w:pPr>
        <w:jc w:val="center"/>
      </w:pPr>
      <w:r>
        <w:rPr>
          <w:b/>
          <w:sz w:val="32"/>
        </w:rPr>
        <w:t>Requirements Table</w:t>
      </w:r>
    </w:p>
    <w:p w14:paraId="0BC6C39F" w14:textId="77777777" w:rsidR="00846383" w:rsidRDefault="00000000">
      <w:pPr>
        <w:jc w:val="center"/>
      </w:pPr>
      <w:r>
        <w:rPr>
          <w:b/>
        </w:rPr>
        <w:t>Internal Microservice Catalog &amp; Health Portal — Problem Statement #42</w:t>
      </w:r>
    </w:p>
    <w:p w14:paraId="634B529F" w14:textId="56E68316" w:rsidR="00846383" w:rsidRDefault="0084638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1957"/>
        <w:gridCol w:w="3493"/>
        <w:gridCol w:w="1854"/>
        <w:gridCol w:w="3303"/>
        <w:gridCol w:w="2403"/>
      </w:tblGrid>
      <w:tr w:rsidR="00846383" w14:paraId="32360854" w14:textId="77777777" w:rsidTr="006D3D1D">
        <w:trPr>
          <w:trHeight w:val="496"/>
          <w:jc w:val="center"/>
        </w:trPr>
        <w:tc>
          <w:tcPr>
            <w:tcW w:w="1696" w:type="dxa"/>
            <w:vAlign w:val="center"/>
          </w:tcPr>
          <w:p w14:paraId="5BAD8FE0" w14:textId="77777777" w:rsidR="00846383" w:rsidRDefault="00000000">
            <w:pPr>
              <w:spacing w:before="20" w:after="40"/>
              <w:jc w:val="center"/>
            </w:pPr>
            <w:r>
              <w:rPr>
                <w:b/>
                <w:sz w:val="17"/>
              </w:rPr>
              <w:t>Req ID</w:t>
            </w:r>
          </w:p>
        </w:tc>
        <w:tc>
          <w:tcPr>
            <w:tcW w:w="1957" w:type="dxa"/>
            <w:vAlign w:val="center"/>
          </w:tcPr>
          <w:p w14:paraId="2C7576B8" w14:textId="77777777" w:rsidR="00846383" w:rsidRDefault="00000000">
            <w:pPr>
              <w:spacing w:before="20" w:after="40"/>
              <w:jc w:val="center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w="3493" w:type="dxa"/>
            <w:vAlign w:val="center"/>
          </w:tcPr>
          <w:p w14:paraId="31582B5D" w14:textId="77777777" w:rsidR="00846383" w:rsidRDefault="00000000">
            <w:pPr>
              <w:spacing w:before="20" w:after="40"/>
              <w:jc w:val="center"/>
            </w:pPr>
            <w:r>
              <w:rPr>
                <w:b/>
                <w:sz w:val="17"/>
              </w:rPr>
              <w:t>Description</w:t>
            </w:r>
            <w:r>
              <w:rPr>
                <w:b/>
                <w:sz w:val="17"/>
              </w:rPr>
              <w:br/>
              <w:t>(The system shall…)</w:t>
            </w:r>
          </w:p>
        </w:tc>
        <w:tc>
          <w:tcPr>
            <w:tcW w:w="1854" w:type="dxa"/>
            <w:vAlign w:val="center"/>
          </w:tcPr>
          <w:p w14:paraId="1E84634E" w14:textId="77777777" w:rsidR="00846383" w:rsidRDefault="00000000">
            <w:pPr>
              <w:spacing w:before="20" w:after="40"/>
              <w:jc w:val="center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w="3303" w:type="dxa"/>
            <w:vAlign w:val="center"/>
          </w:tcPr>
          <w:p w14:paraId="57E27CFA" w14:textId="77777777" w:rsidR="00846383" w:rsidRDefault="00000000">
            <w:pPr>
              <w:spacing w:before="20" w:after="40"/>
              <w:jc w:val="center"/>
            </w:pPr>
            <w:r>
              <w:rPr>
                <w:b/>
                <w:sz w:val="17"/>
              </w:rPr>
              <w:t>Acceptance Criteria</w:t>
            </w:r>
            <w:r>
              <w:rPr>
                <w:b/>
                <w:sz w:val="17"/>
              </w:rPr>
              <w:br/>
              <w:t>(Measurable Pass/Fail)</w:t>
            </w:r>
          </w:p>
        </w:tc>
        <w:tc>
          <w:tcPr>
            <w:tcW w:w="2403" w:type="dxa"/>
            <w:vAlign w:val="center"/>
          </w:tcPr>
          <w:p w14:paraId="26E17443" w14:textId="77777777" w:rsidR="00846383" w:rsidRDefault="00000000">
            <w:pPr>
              <w:spacing w:before="20" w:after="40"/>
              <w:jc w:val="center"/>
            </w:pPr>
            <w:r>
              <w:rPr>
                <w:b/>
                <w:sz w:val="17"/>
              </w:rPr>
              <w:t>Rationale</w:t>
            </w:r>
            <w:r>
              <w:rPr>
                <w:b/>
                <w:sz w:val="17"/>
              </w:rPr>
              <w:br/>
              <w:t>(Short)</w:t>
            </w:r>
          </w:p>
        </w:tc>
      </w:tr>
      <w:tr w:rsidR="00846383" w14:paraId="6E756175" w14:textId="77777777" w:rsidTr="006D3D1D">
        <w:trPr>
          <w:trHeight w:val="2082"/>
          <w:jc w:val="center"/>
        </w:trPr>
        <w:tc>
          <w:tcPr>
            <w:tcW w:w="1696" w:type="dxa"/>
          </w:tcPr>
          <w:p w14:paraId="5DEA5E1F" w14:textId="77777777" w:rsidR="00846383" w:rsidRDefault="00000000">
            <w:pPr>
              <w:spacing w:before="20" w:after="40"/>
            </w:pPr>
            <w:r>
              <w:rPr>
                <w:sz w:val="17"/>
              </w:rPr>
              <w:t>FR-001</w:t>
            </w:r>
          </w:p>
        </w:tc>
        <w:tc>
          <w:tcPr>
            <w:tcW w:w="1957" w:type="dxa"/>
          </w:tcPr>
          <w:p w14:paraId="0329C2C7" w14:textId="77777777" w:rsidR="00846383" w:rsidRDefault="00000000">
            <w:pPr>
              <w:spacing w:before="20" w:after="40"/>
            </w:pPr>
            <w:r>
              <w:rPr>
                <w:sz w:val="17"/>
              </w:rPr>
              <w:t>Functional</w:t>
            </w:r>
          </w:p>
        </w:tc>
        <w:tc>
          <w:tcPr>
            <w:tcW w:w="3493" w:type="dxa"/>
          </w:tcPr>
          <w:p w14:paraId="7421F4E7" w14:textId="77777777" w:rsidR="00846383" w:rsidRDefault="00000000">
            <w:pPr>
              <w:spacing w:before="20" w:after="40"/>
            </w:pPr>
            <w:r>
              <w:rPr>
                <w:sz w:val="17"/>
              </w:rPr>
              <w:t>The system shall ping microservice health endpoints at 30-second intervals and compute rolling 24-hour service availability percentages.</w:t>
            </w:r>
          </w:p>
        </w:tc>
        <w:tc>
          <w:tcPr>
            <w:tcW w:w="1854" w:type="dxa"/>
          </w:tcPr>
          <w:p w14:paraId="55BD2CFE" w14:textId="77777777" w:rsidR="00846383" w:rsidRDefault="00000000">
            <w:pPr>
              <w:spacing w:before="20" w:after="40"/>
            </w:pPr>
            <w:r>
              <w:rPr>
                <w:sz w:val="17"/>
              </w:rPr>
              <w:t>High</w:t>
            </w:r>
          </w:p>
        </w:tc>
        <w:tc>
          <w:tcPr>
            <w:tcW w:w="3303" w:type="dxa"/>
          </w:tcPr>
          <w:p w14:paraId="5573EC68" w14:textId="77777777" w:rsidR="00846383" w:rsidRDefault="00000000">
            <w:pPr>
              <w:spacing w:before="20" w:after="40"/>
            </w:pPr>
            <w:r>
              <w:rPr>
                <w:sz w:val="17"/>
              </w:rPr>
              <w:t>Pass: Downtime recorded and alert dispatched on 3 consecutive failed health probes.</w:t>
            </w:r>
            <w:r>
              <w:rPr>
                <w:sz w:val="17"/>
              </w:rPr>
              <w:br/>
              <w:t>Fail: Unreachable service marked healthy.</w:t>
            </w:r>
          </w:p>
        </w:tc>
        <w:tc>
          <w:tcPr>
            <w:tcW w:w="2403" w:type="dxa"/>
          </w:tcPr>
          <w:p w14:paraId="5B412D58" w14:textId="06CF4C59" w:rsidR="00846383" w:rsidRDefault="00E93388">
            <w:pPr>
              <w:spacing w:before="20" w:after="40"/>
            </w:pPr>
            <w:r w:rsidRPr="00E93388">
              <w:t>Ensures continuous monitoring of microservice health and provides a measurable view of service availability and downtime.</w:t>
            </w:r>
          </w:p>
        </w:tc>
      </w:tr>
      <w:tr w:rsidR="00846383" w14:paraId="6A7500D8" w14:textId="77777777" w:rsidTr="006D3D1D">
        <w:trPr>
          <w:trHeight w:val="2062"/>
          <w:jc w:val="center"/>
        </w:trPr>
        <w:tc>
          <w:tcPr>
            <w:tcW w:w="1696" w:type="dxa"/>
          </w:tcPr>
          <w:p w14:paraId="2828B333" w14:textId="77777777" w:rsidR="00846383" w:rsidRDefault="00000000">
            <w:pPr>
              <w:spacing w:before="20" w:after="40"/>
            </w:pPr>
            <w:r>
              <w:rPr>
                <w:sz w:val="17"/>
              </w:rPr>
              <w:t>FR-002</w:t>
            </w:r>
          </w:p>
        </w:tc>
        <w:tc>
          <w:tcPr>
            <w:tcW w:w="1957" w:type="dxa"/>
          </w:tcPr>
          <w:p w14:paraId="3C6F825F" w14:textId="77777777" w:rsidR="00846383" w:rsidRDefault="00000000">
            <w:pPr>
              <w:spacing w:before="20" w:after="40"/>
            </w:pPr>
            <w:r>
              <w:rPr>
                <w:sz w:val="17"/>
              </w:rPr>
              <w:t>Functional</w:t>
            </w:r>
          </w:p>
        </w:tc>
        <w:tc>
          <w:tcPr>
            <w:tcW w:w="3493" w:type="dxa"/>
          </w:tcPr>
          <w:p w14:paraId="1CE93DFF" w14:textId="4DD651F5" w:rsidR="00846383" w:rsidRPr="001D57E2" w:rsidRDefault="001D57E2">
            <w:pPr>
              <w:spacing w:before="20" w:after="40"/>
              <w:rPr>
                <w:sz w:val="20"/>
                <w:szCs w:val="20"/>
              </w:rPr>
            </w:pPr>
            <w:r w:rsidRPr="001D57E2">
              <w:rPr>
                <w:sz w:val="20"/>
                <w:szCs w:val="20"/>
              </w:rPr>
              <w:t>The system shall display the dependencies between registered microservices in an interactive dependency graph.</w:t>
            </w:r>
          </w:p>
        </w:tc>
        <w:tc>
          <w:tcPr>
            <w:tcW w:w="1854" w:type="dxa"/>
          </w:tcPr>
          <w:p w14:paraId="3AFC1E0D" w14:textId="71BDC44F" w:rsidR="00846383" w:rsidRDefault="00D70C63">
            <w:pPr>
              <w:spacing w:before="20" w:after="40"/>
            </w:pPr>
            <w:r>
              <w:t>High</w:t>
            </w:r>
          </w:p>
        </w:tc>
        <w:tc>
          <w:tcPr>
            <w:tcW w:w="3303" w:type="dxa"/>
          </w:tcPr>
          <w:p w14:paraId="7519BE53" w14:textId="33D47124" w:rsidR="00846383" w:rsidRDefault="00D70C63">
            <w:pPr>
              <w:spacing w:before="20" w:after="40"/>
            </w:pPr>
            <w:r w:rsidRPr="00D70C63">
              <w:rPr>
                <w:b/>
                <w:bCs/>
              </w:rPr>
              <w:t>Pass:</w:t>
            </w:r>
            <w:r w:rsidRPr="00D70C63">
              <w:t xml:space="preserve"> When a registered microservice is selected, the portal displays its configured dependencies and dependent services in the graph. </w:t>
            </w:r>
            <w:r w:rsidRPr="00D70C63">
              <w:rPr>
                <w:b/>
                <w:bCs/>
              </w:rPr>
              <w:t>Fail:</w:t>
            </w:r>
            <w:r w:rsidRPr="00D70C63">
              <w:t xml:space="preserve"> A registered dependency is missing or incorrectly displayed.</w:t>
            </w:r>
          </w:p>
        </w:tc>
        <w:tc>
          <w:tcPr>
            <w:tcW w:w="2403" w:type="dxa"/>
          </w:tcPr>
          <w:p w14:paraId="77A75BAD" w14:textId="6BA940CE" w:rsidR="00846383" w:rsidRDefault="00C55FD9">
            <w:pPr>
              <w:spacing w:before="20" w:after="40"/>
            </w:pPr>
            <w:r w:rsidRPr="00C55FD9">
              <w:t>Helps DevOps Engineers and System Architects understand service relationships and the impact of failures.</w:t>
            </w:r>
          </w:p>
        </w:tc>
      </w:tr>
      <w:tr w:rsidR="00846383" w14:paraId="09D0D8B5" w14:textId="77777777" w:rsidTr="006D3D1D">
        <w:trPr>
          <w:trHeight w:val="2082"/>
          <w:jc w:val="center"/>
        </w:trPr>
        <w:tc>
          <w:tcPr>
            <w:tcW w:w="1696" w:type="dxa"/>
          </w:tcPr>
          <w:p w14:paraId="25AE4832" w14:textId="77777777" w:rsidR="00846383" w:rsidRDefault="00000000">
            <w:pPr>
              <w:spacing w:before="20" w:after="40"/>
            </w:pPr>
            <w:r>
              <w:rPr>
                <w:sz w:val="17"/>
              </w:rPr>
              <w:t>FR-003</w:t>
            </w:r>
          </w:p>
        </w:tc>
        <w:tc>
          <w:tcPr>
            <w:tcW w:w="1957" w:type="dxa"/>
          </w:tcPr>
          <w:p w14:paraId="2A1464F5" w14:textId="77777777" w:rsidR="00846383" w:rsidRDefault="00000000">
            <w:pPr>
              <w:spacing w:before="20" w:after="40"/>
            </w:pPr>
            <w:r>
              <w:rPr>
                <w:sz w:val="17"/>
              </w:rPr>
              <w:t>Functional</w:t>
            </w:r>
          </w:p>
        </w:tc>
        <w:tc>
          <w:tcPr>
            <w:tcW w:w="3493" w:type="dxa"/>
          </w:tcPr>
          <w:p w14:paraId="6B71C6B8" w14:textId="4728AEC9" w:rsidR="00846383" w:rsidRDefault="00C55FD9">
            <w:pPr>
              <w:spacing w:before="20" w:after="40"/>
            </w:pPr>
            <w:r w:rsidRPr="00C55FD9">
              <w:t>The system shall aggregate and provide access to API documentation for registered microservices.</w:t>
            </w:r>
          </w:p>
        </w:tc>
        <w:tc>
          <w:tcPr>
            <w:tcW w:w="1854" w:type="dxa"/>
          </w:tcPr>
          <w:p w14:paraId="06E17822" w14:textId="040F5206" w:rsidR="00846383" w:rsidRDefault="00C55FD9">
            <w:pPr>
              <w:spacing w:before="20" w:after="40"/>
            </w:pPr>
            <w:r>
              <w:t>High</w:t>
            </w:r>
          </w:p>
        </w:tc>
        <w:tc>
          <w:tcPr>
            <w:tcW w:w="3303" w:type="dxa"/>
          </w:tcPr>
          <w:p w14:paraId="12CA6A6D" w14:textId="1CA0E41C" w:rsidR="00846383" w:rsidRDefault="002471FE">
            <w:pPr>
              <w:spacing w:before="20" w:after="40"/>
            </w:pPr>
            <w:r w:rsidRPr="002471FE">
              <w:rPr>
                <w:b/>
                <w:bCs/>
              </w:rPr>
              <w:t>Pass:</w:t>
            </w:r>
            <w:r w:rsidRPr="002471FE">
              <w:t xml:space="preserve"> When a registered microservice is selected, its available API documentation is displayed or linked through the portal. </w:t>
            </w:r>
            <w:r w:rsidRPr="002471FE">
              <w:rPr>
                <w:b/>
                <w:bCs/>
              </w:rPr>
              <w:t>Fail:</w:t>
            </w:r>
            <w:r w:rsidRPr="002471FE">
              <w:t xml:space="preserve"> The available API documentation cannot be accessed from the portal.</w:t>
            </w:r>
          </w:p>
        </w:tc>
        <w:tc>
          <w:tcPr>
            <w:tcW w:w="2403" w:type="dxa"/>
          </w:tcPr>
          <w:p w14:paraId="7A61824E" w14:textId="43A80FC3" w:rsidR="00846383" w:rsidRDefault="002471FE">
            <w:pPr>
              <w:spacing w:before="20" w:after="40"/>
            </w:pPr>
            <w:r w:rsidRPr="002471FE">
              <w:t>Provides a centralized location for accessing microservice API documentation.</w:t>
            </w:r>
          </w:p>
        </w:tc>
      </w:tr>
      <w:tr w:rsidR="00846383" w14:paraId="35424D63" w14:textId="77777777" w:rsidTr="006D3D1D">
        <w:trPr>
          <w:trHeight w:val="1775"/>
          <w:jc w:val="center"/>
        </w:trPr>
        <w:tc>
          <w:tcPr>
            <w:tcW w:w="1696" w:type="dxa"/>
          </w:tcPr>
          <w:p w14:paraId="2C1660A9" w14:textId="77777777" w:rsidR="00846383" w:rsidRDefault="00000000">
            <w:pPr>
              <w:spacing w:before="20" w:after="40"/>
            </w:pPr>
            <w:r>
              <w:rPr>
                <w:sz w:val="17"/>
              </w:rPr>
              <w:t>FR-004</w:t>
            </w:r>
          </w:p>
        </w:tc>
        <w:tc>
          <w:tcPr>
            <w:tcW w:w="1957" w:type="dxa"/>
          </w:tcPr>
          <w:p w14:paraId="7187031E" w14:textId="77777777" w:rsidR="00846383" w:rsidRDefault="00000000">
            <w:pPr>
              <w:spacing w:before="20" w:after="40"/>
            </w:pPr>
            <w:r>
              <w:rPr>
                <w:sz w:val="17"/>
              </w:rPr>
              <w:t>Functional</w:t>
            </w:r>
          </w:p>
        </w:tc>
        <w:tc>
          <w:tcPr>
            <w:tcW w:w="3493" w:type="dxa"/>
          </w:tcPr>
          <w:p w14:paraId="638F79ED" w14:textId="6301A148" w:rsidR="00846383" w:rsidRDefault="002471FE">
            <w:pPr>
              <w:spacing w:before="20" w:after="40"/>
            </w:pPr>
            <w:r w:rsidRPr="002471FE">
              <w:t>The system shall dispatch a downtime alert when a microservice fails three consecutive health probes.</w:t>
            </w:r>
          </w:p>
        </w:tc>
        <w:tc>
          <w:tcPr>
            <w:tcW w:w="1854" w:type="dxa"/>
          </w:tcPr>
          <w:p w14:paraId="124565D2" w14:textId="421551A3" w:rsidR="00846383" w:rsidRDefault="002471FE">
            <w:pPr>
              <w:spacing w:before="20" w:after="40"/>
            </w:pPr>
            <w:r>
              <w:t>High</w:t>
            </w:r>
          </w:p>
        </w:tc>
        <w:tc>
          <w:tcPr>
            <w:tcW w:w="3303" w:type="dxa"/>
          </w:tcPr>
          <w:p w14:paraId="0B5FF246" w14:textId="628E0D68" w:rsidR="00846383" w:rsidRDefault="009A3CB2">
            <w:pPr>
              <w:spacing w:before="20" w:after="40"/>
            </w:pPr>
            <w:r w:rsidRPr="009A3CB2">
              <w:rPr>
                <w:b/>
                <w:bCs/>
              </w:rPr>
              <w:t>Pass:</w:t>
            </w:r>
            <w:r w:rsidRPr="009A3CB2">
              <w:t xml:space="preserve"> An alert is dispatched after 3 consecutive failed health probes and the downtime is recorded. </w:t>
            </w:r>
            <w:r w:rsidRPr="009A3CB2">
              <w:rPr>
                <w:b/>
                <w:bCs/>
              </w:rPr>
              <w:t>Fail:</w:t>
            </w:r>
            <w:r w:rsidRPr="009A3CB2">
              <w:t xml:space="preserve"> No alert is dispatched after 3 consecutive failed probes.</w:t>
            </w:r>
          </w:p>
        </w:tc>
        <w:tc>
          <w:tcPr>
            <w:tcW w:w="2403" w:type="dxa"/>
          </w:tcPr>
          <w:p w14:paraId="7ADE17C1" w14:textId="1E9DCB04" w:rsidR="00846383" w:rsidRDefault="009A3CB2">
            <w:pPr>
              <w:spacing w:before="20" w:after="40"/>
            </w:pPr>
            <w:r w:rsidRPr="009A3CB2">
              <w:t>Enables the DevOps Engineer to respond quickly when a microservice becomes unavailable.</w:t>
            </w:r>
          </w:p>
        </w:tc>
      </w:tr>
      <w:tr w:rsidR="00846383" w14:paraId="0DD7BCD3" w14:textId="77777777" w:rsidTr="006D3D1D">
        <w:trPr>
          <w:trHeight w:val="1146"/>
          <w:jc w:val="center"/>
        </w:trPr>
        <w:tc>
          <w:tcPr>
            <w:tcW w:w="1696" w:type="dxa"/>
          </w:tcPr>
          <w:p w14:paraId="4B9F959F" w14:textId="77777777" w:rsidR="00846383" w:rsidRDefault="00000000">
            <w:pPr>
              <w:spacing w:before="20" w:after="40"/>
            </w:pPr>
            <w:r>
              <w:rPr>
                <w:sz w:val="17"/>
              </w:rPr>
              <w:lastRenderedPageBreak/>
              <w:t>FR-005</w:t>
            </w:r>
          </w:p>
        </w:tc>
        <w:tc>
          <w:tcPr>
            <w:tcW w:w="1957" w:type="dxa"/>
          </w:tcPr>
          <w:p w14:paraId="443BD99E" w14:textId="77777777" w:rsidR="00846383" w:rsidRDefault="00000000">
            <w:pPr>
              <w:spacing w:before="20" w:after="40"/>
            </w:pPr>
            <w:r>
              <w:rPr>
                <w:sz w:val="17"/>
              </w:rPr>
              <w:t>Functional</w:t>
            </w:r>
          </w:p>
        </w:tc>
        <w:tc>
          <w:tcPr>
            <w:tcW w:w="3493" w:type="dxa"/>
          </w:tcPr>
          <w:p w14:paraId="4718489B" w14:textId="69F8B907" w:rsidR="00846383" w:rsidRDefault="00884A3F">
            <w:pPr>
              <w:spacing w:before="20" w:after="40"/>
            </w:pPr>
            <w:r w:rsidRPr="00884A3F">
              <w:t>The system shall allow authorized users to view the details of a registered microservice, including its health status, dependencies, and API documentation.</w:t>
            </w:r>
          </w:p>
        </w:tc>
        <w:tc>
          <w:tcPr>
            <w:tcW w:w="1854" w:type="dxa"/>
          </w:tcPr>
          <w:p w14:paraId="09A643B8" w14:textId="5BD124CE" w:rsidR="00846383" w:rsidRDefault="00884A3F">
            <w:pPr>
              <w:spacing w:before="20" w:after="40"/>
            </w:pPr>
            <w:r>
              <w:t>Medium</w:t>
            </w:r>
          </w:p>
        </w:tc>
        <w:tc>
          <w:tcPr>
            <w:tcW w:w="3303" w:type="dxa"/>
          </w:tcPr>
          <w:p w14:paraId="4A80A26A" w14:textId="1A874F00" w:rsidR="00846383" w:rsidRDefault="00884A3F">
            <w:pPr>
              <w:spacing w:before="20" w:after="40"/>
            </w:pPr>
            <w:r w:rsidRPr="00884A3F">
              <w:rPr>
                <w:b/>
                <w:bCs/>
              </w:rPr>
              <w:t>Pass:</w:t>
            </w:r>
            <w:r w:rsidRPr="00884A3F">
              <w:t xml:space="preserve"> When an authorized user selects a registered microservice, its available health status, dependency information, and API documentation are displayed. </w:t>
            </w:r>
            <w:r w:rsidRPr="00884A3F">
              <w:rPr>
                <w:b/>
                <w:bCs/>
              </w:rPr>
              <w:t>Fail:</w:t>
            </w:r>
            <w:r w:rsidRPr="00884A3F">
              <w:t xml:space="preserve"> Any available service information cannot be accessed from the service details view.</w:t>
            </w:r>
          </w:p>
        </w:tc>
        <w:tc>
          <w:tcPr>
            <w:tcW w:w="2403" w:type="dxa"/>
          </w:tcPr>
          <w:p w14:paraId="43E39BAB" w14:textId="58A9B807" w:rsidR="00846383" w:rsidRDefault="00884A3F">
            <w:pPr>
              <w:spacing w:before="20" w:after="40"/>
            </w:pPr>
            <w:r w:rsidRPr="00884A3F">
              <w:t>Gives users a centralized view of information needed to understand and operate a microservice.</w:t>
            </w:r>
          </w:p>
        </w:tc>
      </w:tr>
      <w:tr w:rsidR="00846383" w14:paraId="7B54C672" w14:textId="77777777" w:rsidTr="006D3D1D">
        <w:trPr>
          <w:trHeight w:val="160"/>
          <w:jc w:val="center"/>
        </w:trPr>
        <w:tc>
          <w:tcPr>
            <w:tcW w:w="1696" w:type="dxa"/>
          </w:tcPr>
          <w:p w14:paraId="2873ABFE" w14:textId="77777777" w:rsidR="00846383" w:rsidRDefault="00000000">
            <w:pPr>
              <w:spacing w:before="20" w:after="40"/>
            </w:pPr>
            <w:r>
              <w:rPr>
                <w:sz w:val="17"/>
              </w:rPr>
              <w:t>NFR-001</w:t>
            </w:r>
          </w:p>
        </w:tc>
        <w:tc>
          <w:tcPr>
            <w:tcW w:w="1957" w:type="dxa"/>
          </w:tcPr>
          <w:p w14:paraId="7899F1BB" w14:textId="77777777" w:rsidR="00846383" w:rsidRDefault="00000000">
            <w:pPr>
              <w:spacing w:before="20" w:after="40"/>
            </w:pPr>
            <w:r>
              <w:rPr>
                <w:sz w:val="17"/>
              </w:rPr>
              <w:t>Performance &amp; Security</w:t>
            </w:r>
          </w:p>
        </w:tc>
        <w:tc>
          <w:tcPr>
            <w:tcW w:w="3493" w:type="dxa"/>
          </w:tcPr>
          <w:p w14:paraId="44DB978F" w14:textId="77777777" w:rsidR="00846383" w:rsidRDefault="00000000">
            <w:pPr>
              <w:spacing w:before="20" w:after="40"/>
            </w:pPr>
            <w:r>
              <w:rPr>
                <w:sz w:val="17"/>
              </w:rPr>
              <w:t>The service catalog dependency graph viewer must render interactive node architectures containing up to 200 services smoothly.</w:t>
            </w:r>
          </w:p>
        </w:tc>
        <w:tc>
          <w:tcPr>
            <w:tcW w:w="1854" w:type="dxa"/>
          </w:tcPr>
          <w:p w14:paraId="37520FE8" w14:textId="4FB91E28" w:rsidR="00846383" w:rsidRDefault="006D3D1D">
            <w:pPr>
              <w:spacing w:before="20" w:after="40"/>
            </w:pPr>
            <w:r>
              <w:t>High</w:t>
            </w:r>
          </w:p>
        </w:tc>
        <w:tc>
          <w:tcPr>
            <w:tcW w:w="3303" w:type="dxa"/>
          </w:tcPr>
          <w:p w14:paraId="623911A5" w14:textId="77777777" w:rsidR="00846383" w:rsidRDefault="00000000">
            <w:pPr>
              <w:spacing w:before="20" w:after="40"/>
            </w:pPr>
            <w:r>
              <w:rPr>
                <w:sz w:val="17"/>
              </w:rPr>
              <w:t>Pass: Benchmarking tests confirm target latency and security standards under simulated peak load.</w:t>
            </w:r>
          </w:p>
        </w:tc>
        <w:tc>
          <w:tcPr>
            <w:tcW w:w="2403" w:type="dxa"/>
          </w:tcPr>
          <w:p w14:paraId="4266C307" w14:textId="5FC5DA1A" w:rsidR="00846383" w:rsidRDefault="006D3D1D">
            <w:pPr>
              <w:spacing w:before="20" w:after="40"/>
            </w:pPr>
            <w:r w:rsidRPr="006D3D1D">
              <w:t>Ensures the dependency graph remains usable and responsive when representing a large number of microservices.</w:t>
            </w:r>
          </w:p>
        </w:tc>
      </w:tr>
      <w:tr w:rsidR="00846383" w14:paraId="4AC4CA6A" w14:textId="77777777" w:rsidTr="006D3D1D">
        <w:trPr>
          <w:trHeight w:val="2062"/>
          <w:jc w:val="center"/>
        </w:trPr>
        <w:tc>
          <w:tcPr>
            <w:tcW w:w="1696" w:type="dxa"/>
          </w:tcPr>
          <w:p w14:paraId="7E4DFA9F" w14:textId="77777777" w:rsidR="00846383" w:rsidRDefault="00000000">
            <w:pPr>
              <w:spacing w:before="20" w:after="40"/>
            </w:pPr>
            <w:r>
              <w:rPr>
                <w:sz w:val="17"/>
              </w:rPr>
              <w:t>NFR-002</w:t>
            </w:r>
          </w:p>
        </w:tc>
        <w:tc>
          <w:tcPr>
            <w:tcW w:w="1957" w:type="dxa"/>
          </w:tcPr>
          <w:p w14:paraId="1094A5AB" w14:textId="77777777" w:rsidR="00846383" w:rsidRDefault="00000000">
            <w:pPr>
              <w:spacing w:before="20" w:after="40"/>
            </w:pPr>
            <w:r>
              <w:rPr>
                <w:sz w:val="17"/>
              </w:rPr>
              <w:t>Nonfunctional</w:t>
            </w:r>
          </w:p>
        </w:tc>
        <w:tc>
          <w:tcPr>
            <w:tcW w:w="3493" w:type="dxa"/>
          </w:tcPr>
          <w:p w14:paraId="31A446FF" w14:textId="68F15F10" w:rsidR="00846383" w:rsidRDefault="007D5AF1">
            <w:pPr>
              <w:spacing w:before="20" w:after="40"/>
            </w:pPr>
            <w:r w:rsidRPr="007D5AF1">
              <w:t>The system shall restrict access to microservice health, dependency, and API information to authenticated users.</w:t>
            </w:r>
          </w:p>
        </w:tc>
        <w:tc>
          <w:tcPr>
            <w:tcW w:w="1854" w:type="dxa"/>
          </w:tcPr>
          <w:p w14:paraId="06446F1F" w14:textId="2F67635B" w:rsidR="00846383" w:rsidRDefault="007D5AF1">
            <w:pPr>
              <w:spacing w:before="20" w:after="40"/>
            </w:pPr>
            <w:r>
              <w:t>High</w:t>
            </w:r>
          </w:p>
        </w:tc>
        <w:tc>
          <w:tcPr>
            <w:tcW w:w="3303" w:type="dxa"/>
          </w:tcPr>
          <w:p w14:paraId="0A679A82" w14:textId="2A554F36" w:rsidR="00846383" w:rsidRDefault="00BE2B1F">
            <w:pPr>
              <w:spacing w:before="20" w:after="40"/>
            </w:pPr>
            <w:r w:rsidRPr="00BE2B1F">
              <w:rPr>
                <w:b/>
                <w:bCs/>
              </w:rPr>
              <w:t>Pass:</w:t>
            </w:r>
            <w:r w:rsidRPr="00BE2B1F">
              <w:t xml:space="preserve"> An unauthenticated user attempting to access protected microservice information is denied access. </w:t>
            </w:r>
            <w:r w:rsidRPr="00BE2B1F">
              <w:rPr>
                <w:b/>
                <w:bCs/>
              </w:rPr>
              <w:t>Fail:</w:t>
            </w:r>
            <w:r w:rsidRPr="00BE2B1F">
              <w:t xml:space="preserve"> An unauthenticated user can access protected microservice information.</w:t>
            </w:r>
          </w:p>
        </w:tc>
        <w:tc>
          <w:tcPr>
            <w:tcW w:w="2403" w:type="dxa"/>
          </w:tcPr>
          <w:p w14:paraId="439F2114" w14:textId="03F0A56E" w:rsidR="00846383" w:rsidRDefault="00BE2B1F">
            <w:pPr>
              <w:spacing w:before="20" w:after="40"/>
            </w:pPr>
            <w:r w:rsidRPr="00BE2B1F">
              <w:t>Protects internal service information from unauthorized access.</w:t>
            </w:r>
          </w:p>
        </w:tc>
      </w:tr>
    </w:tbl>
    <w:p w14:paraId="6EAF1021" w14:textId="0BC6C0FF" w:rsidR="00846383" w:rsidRDefault="00846383"/>
    <w:sectPr w:rsidR="00846383" w:rsidSect="00034616"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185958">
    <w:abstractNumId w:val="8"/>
  </w:num>
  <w:num w:numId="2" w16cid:durableId="229195564">
    <w:abstractNumId w:val="6"/>
  </w:num>
  <w:num w:numId="3" w16cid:durableId="912355894">
    <w:abstractNumId w:val="5"/>
  </w:num>
  <w:num w:numId="4" w16cid:durableId="1630282003">
    <w:abstractNumId w:val="4"/>
  </w:num>
  <w:num w:numId="5" w16cid:durableId="936258543">
    <w:abstractNumId w:val="7"/>
  </w:num>
  <w:num w:numId="6" w16cid:durableId="325204886">
    <w:abstractNumId w:val="3"/>
  </w:num>
  <w:num w:numId="7" w16cid:durableId="631136928">
    <w:abstractNumId w:val="2"/>
  </w:num>
  <w:num w:numId="8" w16cid:durableId="1210603947">
    <w:abstractNumId w:val="1"/>
  </w:num>
  <w:num w:numId="9" w16cid:durableId="1263995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ECF"/>
    <w:rsid w:val="00034616"/>
    <w:rsid w:val="0006063C"/>
    <w:rsid w:val="0015074B"/>
    <w:rsid w:val="001D57E2"/>
    <w:rsid w:val="002471FE"/>
    <w:rsid w:val="0029639D"/>
    <w:rsid w:val="00326F90"/>
    <w:rsid w:val="006D3D1D"/>
    <w:rsid w:val="007D0669"/>
    <w:rsid w:val="007D5AF1"/>
    <w:rsid w:val="00846383"/>
    <w:rsid w:val="00884A3F"/>
    <w:rsid w:val="009A3CB2"/>
    <w:rsid w:val="00AA1D8D"/>
    <w:rsid w:val="00B47730"/>
    <w:rsid w:val="00BE2B1F"/>
    <w:rsid w:val="00C55FD9"/>
    <w:rsid w:val="00CB0664"/>
    <w:rsid w:val="00D70C63"/>
    <w:rsid w:val="00E933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4A4538"/>
  <w14:defaultImageDpi w14:val="300"/>
  <w15:docId w15:val="{749C09E2-BA43-4FF3-9AC1-E5C157645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Pavan Lamani</cp:lastModifiedBy>
  <cp:revision>12</cp:revision>
  <dcterms:created xsi:type="dcterms:W3CDTF">2026-08-25T09:00:00Z</dcterms:created>
  <dcterms:modified xsi:type="dcterms:W3CDTF">2026-08-25T09:08:00Z</dcterms:modified>
  <cp:category/>
</cp:coreProperties>
</file>