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priam-data-annotation-overview"/>
      <w:bookmarkEnd w:id="0"/>
      <w:r>
        <w:rPr/>
        <w:t xml:space="preserve">PRIAM Data Annotation </w:t>
      </w:r>
    </w:p>
    <w:p>
      <w:pPr>
        <w:pStyle w:val="FirstParagraph"/>
        <w:rPr/>
      </w:pPr>
      <w:r>
        <w:rPr/>
        <w:t xml:space="preserve">The </w:t>
      </w:r>
      <w:r>
        <w:rPr>
          <w:b/>
          <w:bCs/>
        </w:rPr>
        <w:t>data annotation</w:t>
      </w:r>
      <w:r>
        <w:rPr/>
        <w:t xml:space="preserve"> step involves defining the data, actors, and processing activities of your application.</w:t>
      </w:r>
    </w:p>
    <w:p>
      <w:pPr>
        <w:pStyle w:val="BodyText"/>
        <w:rPr/>
      </w:pPr>
      <w:r>
        <w:rPr/>
        <w:t xml:space="preserve">To facilitate this, we have implemented a </w:t>
      </w:r>
      <w:r>
        <w:rPr>
          <w:b/>
          <w:bCs/>
        </w:rPr>
        <w:t>Domain-Specific Language (DSL)</w:t>
      </w:r>
      <w:r>
        <w:rPr/>
        <w:t>.</w:t>
      </w:r>
    </w:p>
    <w:p>
      <w:pPr>
        <w:pStyle w:val="Heading2"/>
        <w:rPr/>
      </w:pPr>
      <w:bookmarkStart w:id="1" w:name="features-of-the-dsl"/>
      <w:bookmarkEnd w:id="1"/>
      <w:r>
        <w:rPr/>
        <w:t>Features of the DSL</w:t>
      </w:r>
    </w:p>
    <w:p>
      <w:pPr>
        <w:pStyle w:val="FirstParagraph"/>
        <w:rPr/>
      </w:pPr>
      <w:r>
        <w:rPr/>
        <w:t xml:space="preserve">The </w:t>
      </w:r>
      <w:r>
        <w:rPr>
          <w:b/>
          <w:bCs/>
        </w:rPr>
        <w:t>DSL</w:t>
      </w:r>
      <w:r>
        <w:rPr/>
        <w:t xml:space="preserve"> offers an interactive editor that guides you through the annotation process.</w:t>
      </w:r>
    </w:p>
    <w:p>
      <w:pPr>
        <w:pStyle w:val="Heading2"/>
        <w:rPr/>
      </w:pPr>
      <w:bookmarkStart w:id="2" w:name="features-of-the-dsl"/>
      <w:bookmarkStart w:id="3" w:name="installation-guide"/>
      <w:bookmarkEnd w:id="2"/>
      <w:bookmarkEnd w:id="3"/>
      <w:r>
        <w:rPr/>
        <w:t>Installation Guide</w:t>
      </w:r>
    </w:p>
    <w:p>
      <w:pPr>
        <w:pStyle w:val="FirstParagraph"/>
        <w:rPr/>
      </w:pPr>
      <w:r>
        <w:rPr/>
        <w:t>To get started with the DSL:</w:t>
      </w:r>
    </w:p>
    <w:p>
      <w:pPr>
        <w:pStyle w:val="Normal"/>
        <w:numPr>
          <w:ilvl w:val="0"/>
          <w:numId w:val="30"/>
        </w:numPr>
        <w:rPr/>
      </w:pPr>
      <w:r>
        <w:rPr>
          <w:b/>
          <w:bCs/>
        </w:rPr>
        <w:t>Launch the IDE</w:t>
      </w:r>
    </w:p>
    <w:p>
      <w:pPr>
        <w:pStyle w:val="Normal"/>
        <w:numPr>
          <w:ilvl w:val="1"/>
          <w:numId w:val="2"/>
        </w:numPr>
        <w:rPr/>
      </w:pPr>
      <w:r>
        <w:rPr/>
        <w:t xml:space="preserve">Download the IDE from </w:t>
      </w:r>
      <w:r>
        <w:rPr>
          <w:rStyle w:val="InternetLink"/>
        </w:rPr>
        <w:t>this link</w:t>
      </w:r>
      <w:r>
        <w:rPr/>
        <w:t>.</w:t>
      </w:r>
    </w:p>
    <w:p>
      <w:pPr>
        <w:pStyle w:val="Normal"/>
        <w:numPr>
          <w:ilvl w:val="1"/>
          <w:numId w:val="2"/>
        </w:numPr>
        <w:rPr/>
      </w:pPr>
      <w:r>
        <w:rPr/>
        <w:t>Unzip the downloaded file.</w:t>
      </w:r>
    </w:p>
    <w:p>
      <w:pPr>
        <w:pStyle w:val="Normal"/>
        <w:numPr>
          <w:ilvl w:val="1"/>
          <w:numId w:val="2"/>
        </w:numPr>
        <w:rPr/>
      </w:pPr>
      <w:r>
        <w:rPr/>
        <w:t xml:space="preserve">Go to the </w:t>
      </w:r>
      <w:r>
        <w:rPr>
          <w:rStyle w:val="VerbatimChar"/>
        </w:rPr>
        <w:t>GDPR_v1</w:t>
      </w:r>
      <w:r>
        <w:rPr/>
        <w:t xml:space="preserve"> file located in the </w:t>
      </w:r>
      <w:r>
        <w:rPr>
          <w:rStyle w:val="VerbatimChar"/>
        </w:rPr>
        <w:t>bin</w:t>
      </w:r>
      <w:r>
        <w:rPr/>
        <w:t xml:space="preserve"> folder.</w:t>
      </w:r>
    </w:p>
    <w:p>
      <w:pPr>
        <w:pStyle w:val="Normal"/>
        <w:numPr>
          <w:ilvl w:val="0"/>
          <w:numId w:val="1"/>
        </w:numPr>
        <w:rPr/>
      </w:pPr>
      <w:r>
        <w:rPr>
          <w:b/>
          <w:bCs/>
        </w:rPr>
        <w:t>IDE Setup</w:t>
      </w:r>
      <w:r>
        <w:rPr/>
        <w:br/>
        <w:t>The DSL will automatically generate creation and insertion scripts based on your annotations, as well as a list of user stories. Additionally, the DSL maintains an independent database to handle the compliance management of your application.</w:t>
      </w:r>
    </w:p>
    <w:p>
      <w:pPr>
        <w:pStyle w:val="Normal"/>
        <w:numPr>
          <w:ilvl w:val="0"/>
          <w:numId w:val="1"/>
        </w:numPr>
        <w:rPr/>
      </w:pPr>
      <w:r>
        <w:rPr>
          <w:b/>
          <w:bCs/>
        </w:rPr>
        <w:t>Once the IDE is open</w:t>
      </w:r>
    </w:p>
    <w:p>
      <w:pPr>
        <w:pStyle w:val="Normal"/>
        <w:numPr>
          <w:ilvl w:val="1"/>
          <w:numId w:val="31"/>
        </w:numPr>
        <w:rPr/>
      </w:pPr>
      <w:r>
        <w:rPr/>
        <w:t xml:space="preserve">Right-click on </w:t>
      </w:r>
      <w:r>
        <w:rPr>
          <w:rStyle w:val="VerbatimChar"/>
        </w:rPr>
        <w:t>New Solution</w:t>
      </w:r>
      <w:r>
        <w:rPr/>
        <w:t xml:space="preserve">, then choose </w:t>
      </w:r>
      <w:r>
        <w:rPr>
          <w:rStyle w:val="VerbatimChar"/>
        </w:rPr>
        <w:t>New model</w:t>
      </w:r>
      <w:r>
        <w:rPr/>
        <w:t>. The interactive interface will be displayed.</w:t>
      </w:r>
    </w:p>
    <w:p>
      <w:pPr>
        <w:pStyle w:val="Normal"/>
        <w:numPr>
          <w:ilvl w:val="1"/>
          <w:numId w:val="32"/>
        </w:numPr>
        <w:rPr/>
      </w:pPr>
      <w:r>
        <w:rPr/>
        <w:t>In the "use dependencies" tab, select "PRIAM LANGUAGE" and click OK.</w:t>
      </w:r>
    </w:p>
    <w:p>
      <w:pPr>
        <w:pStyle w:val="Normal"/>
        <w:numPr>
          <w:ilvl w:val="0"/>
          <w:numId w:val="1"/>
        </w:numPr>
        <w:rPr/>
      </w:pPr>
      <w:r>
        <w:rPr>
          <w:b/>
          <w:bCs/>
        </w:rPr>
        <w:t>Troubleshooting</w:t>
      </w:r>
      <w:r>
        <w:rPr/>
        <w:br/>
        <w:t>If an error occurs, you may need to import the required plugin:</w:t>
      </w:r>
    </w:p>
    <w:p>
      <w:pPr>
        <w:pStyle w:val="Normal"/>
        <w:numPr>
          <w:ilvl w:val="1"/>
          <w:numId w:val="33"/>
        </w:numPr>
        <w:rPr/>
      </w:pPr>
      <w:r>
        <w:rPr/>
        <w:t xml:space="preserve">Go to </w:t>
      </w:r>
      <w:r>
        <w:rPr>
          <w:rStyle w:val="VerbatimChar"/>
        </w:rPr>
        <w:t>Settings &gt; Plugins</w:t>
      </w:r>
      <w:r>
        <w:rPr/>
        <w:t>.</w:t>
      </w:r>
    </w:p>
    <w:p>
      <w:pPr>
        <w:pStyle w:val="Normal"/>
        <w:numPr>
          <w:ilvl w:val="1"/>
          <w:numId w:val="34"/>
        </w:numPr>
        <w:rPr/>
      </w:pPr>
      <w:r>
        <w:rPr/>
        <w:t>Locate the plugin in the unzipped folder (</w:t>
      </w:r>
      <w:r>
        <w:rPr>
          <w:rStyle w:val="VerbatimChar"/>
        </w:rPr>
        <w:t>PRIAM...plugins/GDPK_V1.zip</w:t>
      </w:r>
      <w:r>
        <w:rPr/>
        <w:t>).</w:t>
      </w:r>
    </w:p>
    <w:p>
      <w:pPr>
        <w:pStyle w:val="Normal"/>
        <w:numPr>
          <w:ilvl w:val="1"/>
          <w:numId w:val="35"/>
        </w:numPr>
        <w:rPr/>
      </w:pPr>
      <w:r>
        <w:rPr/>
        <w:t>Restart the IDE after installing the plugin.</w:t>
      </w:r>
    </w:p>
    <w:p>
      <w:pPr>
        <w:pStyle w:val="Heading2"/>
        <w:rPr/>
      </w:pPr>
      <w:bookmarkStart w:id="4" w:name="installation-guide"/>
      <w:bookmarkStart w:id="5" w:name="start-annotating"/>
      <w:bookmarkEnd w:id="4"/>
      <w:bookmarkEnd w:id="5"/>
      <w:r>
        <w:rPr/>
        <w:t>Start Annotating</w:t>
      </w:r>
    </w:p>
    <w:p>
      <w:pPr>
        <w:pStyle w:val="FirstParagraph"/>
        <w:rPr/>
      </w:pPr>
      <w:r>
        <w:rPr/>
        <w:t>You can now begin annotating by creating instances in the following order:</w:t>
      </w:r>
    </w:p>
    <w:p>
      <w:pPr>
        <w:pStyle w:val="BodyText"/>
        <w:rPr/>
      </w:pPr>
      <w:r>
        <w:rPr>
          <w:b/>
          <w:bCs/>
        </w:rPr>
        <w:t>Create an Instance of PRIAM DB</w:t>
      </w:r>
      <w:r>
        <w:rPr/>
        <w:br/>
        <w:t>Create an instance of PRIAM DB to modify the predefined list of countries, data categories, and measures to be used later in the process.</w:t>
      </w:r>
    </w:p>
    <w:p>
      <w:pPr>
        <w:pStyle w:val="Normal"/>
        <w:numPr>
          <w:ilvl w:val="0"/>
          <w:numId w:val="36"/>
        </w:numPr>
        <w:rPr/>
      </w:pPr>
      <w:r>
        <w:rPr/>
        <w:t>Right-click on “new solution”.</w:t>
      </w:r>
    </w:p>
    <w:p>
      <w:pPr>
        <w:pStyle w:val="Normal"/>
        <w:numPr>
          <w:ilvl w:val="0"/>
          <w:numId w:val="37"/>
        </w:numPr>
        <w:rPr/>
      </w:pPr>
      <w:r>
        <w:rPr/>
        <w:t xml:space="preserve">Select </w:t>
      </w:r>
      <w:r>
        <w:rPr>
          <w:rStyle w:val="VerbatimChar"/>
        </w:rPr>
        <w:t>New &gt; Model</w:t>
      </w:r>
      <w:r>
        <w:rPr/>
        <w:t xml:space="preserve"> from the context menu to create model.</w:t>
      </w:r>
    </w:p>
    <w:p>
      <w:pPr>
        <w:pStyle w:val="BodyText"/>
        <w:rPr/>
      </w:pPr>
      <w:r>
        <w:rPr/>
      </w:r>
    </w:p>
    <w:p>
      <w:pPr>
        <w:pStyle w:val="Heading1"/>
        <w:rPr/>
      </w:pPr>
      <w:bookmarkStart w:id="6" w:name="priam-data-annotation-overview"/>
      <w:bookmarkStart w:id="7" w:name="start-annotating"/>
      <w:bookmarkStart w:id="8" w:name="X2a65cd3694caf6e2807e7b4c445069a54907883"/>
      <w:bookmarkEnd w:id="6"/>
      <w:bookmarkEnd w:id="7"/>
      <w:r>
        <w:rPr>
          <w:highlight w:val="yellow"/>
        </w:rPr>
        <w:t>Annotating Actors, Data, and Processing Activities Using the DSL</w:t>
      </w:r>
    </w:p>
    <w:p>
      <w:pPr>
        <w:pStyle w:val="FirstParagraph"/>
        <w:rPr/>
      </w:pPr>
      <w:r>
        <w:rPr/>
        <w:t xml:space="preserve">The task of annotating actors, data, and processing activities is typically performed by the </w:t>
      </w:r>
      <w:r>
        <w:rPr>
          <w:b/>
          <w:bCs/>
        </w:rPr>
        <w:t>provider</w:t>
      </w:r>
      <w:r>
        <w:rPr/>
        <w:t xml:space="preserve"> or </w:t>
      </w:r>
      <w:r>
        <w:rPr>
          <w:b/>
          <w:bCs/>
        </w:rPr>
        <w:t>software architect</w:t>
      </w:r>
      <w:r>
        <w:rPr/>
        <w:t xml:space="preserve"> within a company.</w:t>
      </w:r>
    </w:p>
    <w:p>
      <w:pPr>
        <w:pStyle w:val="BodyText"/>
        <w:rPr/>
      </w:pPr>
      <w:r>
        <w:rPr/>
        <w:t xml:space="preserve">The annotation process </w:t>
      </w:r>
      <w:r>
        <w:rPr>
          <w:b/>
          <w:bCs/>
        </w:rPr>
        <w:t>must</w:t>
      </w:r>
      <w:r>
        <w:rPr/>
        <w:t xml:space="preserve"> follow this specific order:</w:t>
      </w:r>
    </w:p>
    <w:p>
      <w:pPr>
        <w:pStyle w:val="Normal"/>
        <w:numPr>
          <w:ilvl w:val="0"/>
          <w:numId w:val="38"/>
        </w:numPr>
        <w:rPr/>
      </w:pPr>
      <w:r>
        <w:rPr>
          <w:b/>
          <w:bCs/>
        </w:rPr>
        <w:t>Actors</w:t>
      </w:r>
    </w:p>
    <w:p>
      <w:pPr>
        <w:pStyle w:val="Normal"/>
        <w:numPr>
          <w:ilvl w:val="0"/>
          <w:numId w:val="39"/>
        </w:numPr>
        <w:rPr/>
      </w:pPr>
      <w:r>
        <w:rPr>
          <w:b/>
          <w:bCs/>
        </w:rPr>
        <w:t>Data</w:t>
      </w:r>
    </w:p>
    <w:p>
      <w:pPr>
        <w:pStyle w:val="Normal"/>
        <w:numPr>
          <w:ilvl w:val="0"/>
          <w:numId w:val="40"/>
        </w:numPr>
        <w:rPr/>
      </w:pPr>
      <w:r>
        <w:rPr>
          <w:b/>
          <w:bCs/>
        </w:rPr>
        <w:t>Processing</w:t>
      </w:r>
    </w:p>
    <w:p>
      <w:pPr>
        <w:pStyle w:val="FirstParagraph"/>
        <w:rPr/>
      </w:pPr>
      <w:r>
        <w:rPr/>
        <w:t xml:space="preserve">These annotations help to build a pre-filled database of information about the application, which developers can then integrate to ensure compliance with current regulations. In this context, we will be using </w:t>
      </w:r>
      <w:r>
        <w:rPr>
          <w:b/>
          <w:bCs/>
        </w:rPr>
        <w:t>PRIAM</w:t>
      </w:r>
      <w:r>
        <w:rPr/>
        <w:t xml:space="preserve">, a solution designed to support </w:t>
      </w:r>
      <w:r>
        <w:rPr>
          <w:b/>
          <w:bCs/>
        </w:rPr>
        <w:t>GDPR</w:t>
      </w:r>
      <w:r>
        <w:rPr/>
        <w:t xml:space="preserve"> requirements.</w:t>
      </w:r>
    </w:p>
    <w:p>
      <w:pPr>
        <w:pStyle w:val="BodyText"/>
        <w:rPr/>
      </w:pPr>
      <w:r>
        <w:rPr/>
        <w:t>Create a Priam GDPR instance that will generate the database creation script.</w:t>
      </w:r>
    </w:p>
    <w:p>
      <w:pPr>
        <w:pStyle w:val="BodyText"/>
        <w:rPr/>
      </w:pPr>
      <w:r>
        <w:rPr/>
        <w:t>Three fields must be filled in to import predefined values for: country, measures, personal data c</w:t>
      </w:r>
      <w:bookmarkStart w:id="9" w:name="_GoBack"/>
      <w:bookmarkEnd w:id="9"/>
      <w:r>
        <w:rPr/>
        <w:t>ategory (click Ctrl + Space).</w:t>
      </w:r>
    </w:p>
    <w:p>
      <w:pPr>
        <w:pStyle w:val="Heading2"/>
        <w:rPr/>
      </w:pPr>
      <w:bookmarkStart w:id="10" w:name="actors-annotation"/>
      <w:bookmarkEnd w:id="10"/>
      <w:r>
        <w:rPr/>
        <w:t>1. Actors’ Annotation</w:t>
      </w:r>
    </w:p>
    <w:p>
      <w:pPr>
        <w:pStyle w:val="Heading3"/>
        <w:rPr/>
      </w:pPr>
      <w:bookmarkStart w:id="11" w:name="create-an-actor-annotation-instance"/>
      <w:bookmarkEnd w:id="11"/>
      <w:r>
        <w:rPr/>
        <w:t>Create an Actor Annotation instance</w:t>
      </w:r>
    </w:p>
    <w:p>
      <w:pPr>
        <w:pStyle w:val="Normal"/>
        <w:numPr>
          <w:ilvl w:val="0"/>
          <w:numId w:val="41"/>
        </w:numPr>
        <w:rPr/>
      </w:pPr>
      <w:r>
        <w:rPr/>
        <w:t xml:space="preserve">Right-click on the </w:t>
      </w:r>
      <w:r>
        <w:rPr>
          <w:b/>
          <w:bCs/>
        </w:rPr>
        <w:t>model</w:t>
      </w:r>
      <w:r>
        <w:rPr/>
        <w:t xml:space="preserve"> that you created in the previous step.</w:t>
      </w:r>
    </w:p>
    <w:p>
      <w:pPr>
        <w:pStyle w:val="Normal"/>
        <w:numPr>
          <w:ilvl w:val="0"/>
          <w:numId w:val="42"/>
        </w:numPr>
        <w:rPr/>
      </w:pPr>
      <w:r>
        <w:rPr/>
        <w:t xml:space="preserve">Select </w:t>
      </w:r>
      <w:r>
        <w:rPr>
          <w:rStyle w:val="VerbatimChar"/>
        </w:rPr>
        <w:t>New &gt; Actor Annotation</w:t>
      </w:r>
      <w:r>
        <w:rPr/>
        <w:t xml:space="preserve"> from the context menu to create the actor annotation instance.</w:t>
      </w:r>
    </w:p>
    <w:p>
      <w:pPr>
        <w:pStyle w:val="Normal"/>
        <w:rPr>
          <w:b/>
        </w:rPr>
      </w:pPr>
      <w:r>
        <w:rPr>
          <w:b/>
        </w:rPr>
        <w:t xml:space="preserve">Note: </w:t>
      </w:r>
      <w:r>
        <w:rPr/>
        <w:t>one instance of the model must be created.</w:t>
      </w:r>
    </w:p>
    <w:p>
      <w:pPr>
        <w:pStyle w:val="Heading3"/>
        <w:rPr/>
      </w:pPr>
      <w:bookmarkStart w:id="12" w:name="create-an-actor-annotation-instance"/>
      <w:bookmarkStart w:id="13" w:name="provider"/>
      <w:bookmarkEnd w:id="12"/>
      <w:bookmarkEnd w:id="13"/>
      <w:r>
        <w:rPr>
          <w:highlight w:val="yellow"/>
        </w:rPr>
        <w:t>*Provider</w:t>
      </w:r>
    </w:p>
    <w:p>
      <w:pPr>
        <w:pStyle w:val="FirstParagraph"/>
        <w:rPr/>
      </w:pPr>
      <w:r>
        <w:rPr/>
        <w:t xml:space="preserve">The </w:t>
      </w:r>
      <w:r>
        <w:rPr>
          <w:b/>
          <w:bCs/>
        </w:rPr>
        <w:t>provider</w:t>
      </w:r>
      <w:r>
        <w:rPr/>
        <w:t xml:space="preserve"> (</w:t>
      </w:r>
      <w:r>
        <w:rPr>
          <w:bCs/>
        </w:rPr>
        <w:t xml:space="preserve">data controller </w:t>
      </w:r>
      <w:r>
        <w:rPr/>
        <w:t>as defined by the GDPR), is the individual or organization that determines the purposes and means of data processing. Their details are mandatory in the system to ensure they are available to data subjects.</w:t>
      </w:r>
    </w:p>
    <w:p>
      <w:pPr>
        <w:pStyle w:val="BodyText"/>
        <w:rPr/>
      </w:pPr>
      <w:r>
        <w:rPr>
          <w:b/>
          <w:bCs/>
        </w:rPr>
        <w:t>Required Information</w:t>
      </w:r>
      <w:r>
        <w:rPr/>
        <w:t>:</w:t>
      </w:r>
    </w:p>
    <w:p>
      <w:pPr>
        <w:pStyle w:val="Normal"/>
        <w:numPr>
          <w:ilvl w:val="0"/>
          <w:numId w:val="43"/>
        </w:numPr>
        <w:rPr/>
      </w:pPr>
      <w:r>
        <w:rPr/>
        <w:t>Name</w:t>
      </w:r>
    </w:p>
    <w:p>
      <w:pPr>
        <w:pStyle w:val="Normal"/>
        <w:numPr>
          <w:ilvl w:val="0"/>
          <w:numId w:val="44"/>
        </w:numPr>
        <w:rPr/>
      </w:pPr>
      <w:r>
        <w:rPr/>
        <w:t>Email and/or phone number</w:t>
      </w:r>
    </w:p>
    <w:p>
      <w:pPr>
        <w:pStyle w:val="Normal"/>
        <w:numPr>
          <w:ilvl w:val="0"/>
          <w:numId w:val="45"/>
        </w:numPr>
        <w:rPr/>
      </w:pPr>
      <w:r>
        <w:rPr/>
        <w:t>Address (street name, street number, city, postal code, etc.)</w:t>
      </w:r>
    </w:p>
    <w:p>
      <w:pPr>
        <w:pStyle w:val="Normal"/>
        <w:numPr>
          <w:ilvl w:val="0"/>
          <w:numId w:val="46"/>
        </w:numPr>
        <w:rPr/>
      </w:pPr>
      <w:r>
        <w:rPr/>
        <w:t>Country</w:t>
      </w:r>
    </w:p>
    <w:p>
      <w:pPr>
        <w:pStyle w:val="FirstParagraph"/>
        <w:rPr/>
      </w:pPr>
      <w:r>
        <w:rPr>
          <w:b/>
          <w:bCs/>
        </w:rPr>
        <w:t>Note</w:t>
      </w:r>
      <w:r>
        <w:rPr>
          <w:b/>
        </w:rPr>
        <w:t xml:space="preserve">: </w:t>
      </w:r>
      <w:r>
        <w:rPr/>
        <w:t xml:space="preserve">The list of countries is predefined, and you can select from it using Java intentions using </w:t>
      </w:r>
      <w:r>
        <w:rPr>
          <w:rStyle w:val="VerbatimChar"/>
        </w:rPr>
        <w:t>Ctrl + Space</w:t>
      </w:r>
      <w:r>
        <w:rPr/>
        <w:t>.</w:t>
      </w:r>
    </w:p>
    <w:p>
      <w:pPr>
        <w:pStyle w:val="BodyText"/>
        <w:rPr/>
      </w:pPr>
      <w:r>
        <w:rPr>
          <w:b/>
          <w:bCs/>
        </w:rPr>
        <w:t>Data Protection Officer (DPO)</w:t>
      </w:r>
    </w:p>
    <w:p>
      <w:pPr>
        <w:pStyle w:val="BodyText"/>
        <w:rPr/>
      </w:pPr>
      <w:r>
        <w:rPr/>
        <w:t xml:space="preserve">A </w:t>
      </w:r>
      <w:r>
        <w:rPr>
          <w:b/>
          <w:bCs/>
        </w:rPr>
        <w:t>DPO</w:t>
      </w:r>
      <w:r>
        <w:rPr/>
        <w:t xml:space="preserve"> entity is only required if your organization has designated one in accordance with regulatory requirements (e.g., GDPR). If applicable, you must provide the DPO’s contact details, which are important for both the supervisory authority and the data subject.</w:t>
      </w:r>
    </w:p>
    <w:p>
      <w:pPr>
        <w:pStyle w:val="BodyText"/>
        <w:rPr/>
      </w:pPr>
      <w:r>
        <w:rPr/>
        <w:t>For simplicity, this can be omitted at this stage if not required.</w:t>
      </w:r>
    </w:p>
    <w:p>
      <w:pPr>
        <w:pStyle w:val="Heading3"/>
        <w:rPr/>
      </w:pPr>
      <w:bookmarkStart w:id="14" w:name="provider"/>
      <w:bookmarkStart w:id="15" w:name="representative"/>
      <w:bookmarkEnd w:id="14"/>
      <w:bookmarkEnd w:id="15"/>
      <w:r>
        <w:rPr/>
        <w:t>Representative</w:t>
      </w:r>
    </w:p>
    <w:p>
      <w:pPr>
        <w:pStyle w:val="FirstParagraph"/>
        <w:rPr/>
      </w:pPr>
      <w:r>
        <w:rPr/>
        <w:t xml:space="preserve">A </w:t>
      </w:r>
      <w:r>
        <w:rPr>
          <w:b/>
          <w:bCs/>
        </w:rPr>
        <w:t>Representative</w:t>
      </w:r>
      <w:r>
        <w:rPr/>
        <w:t xml:space="preserve"> is only mandatory in specific cases, such as when the provider is not located within the EU but offers services in the EU under GDPR. In such cases, you must provide the representative’s contact details. (In your case, this is not required.)</w:t>
      </w:r>
    </w:p>
    <w:p>
      <w:pPr>
        <w:pStyle w:val="Heading3"/>
        <w:rPr/>
      </w:pPr>
      <w:bookmarkStart w:id="16" w:name="representative"/>
      <w:bookmarkStart w:id="17" w:name="data-subject-categories"/>
      <w:bookmarkEnd w:id="16"/>
      <w:bookmarkEnd w:id="17"/>
      <w:r>
        <w:rPr>
          <w:highlight w:val="yellow"/>
        </w:rPr>
        <w:t>*Data Subject Categories</w:t>
      </w:r>
    </w:p>
    <w:p>
      <w:pPr>
        <w:pStyle w:val="FirstParagraph"/>
        <w:rPr/>
      </w:pPr>
      <w:r>
        <w:rPr/>
        <w:t xml:space="preserve">It is mandatory to provide at least one category of data subject. A data subject category can be a </w:t>
      </w:r>
      <w:r>
        <w:rPr>
          <w:b/>
          <w:bCs/>
        </w:rPr>
        <w:t>student</w:t>
      </w:r>
      <w:r>
        <w:rPr/>
        <w:t xml:space="preserve">, </w:t>
      </w:r>
      <w:r>
        <w:rPr>
          <w:b/>
          <w:bCs/>
        </w:rPr>
        <w:t>teacher</w:t>
      </w:r>
      <w:r>
        <w:rPr/>
        <w:t xml:space="preserve">, </w:t>
      </w:r>
      <w:r>
        <w:rPr>
          <w:b/>
          <w:bCs/>
        </w:rPr>
        <w:t>customer</w:t>
      </w:r>
      <w:r>
        <w:rPr/>
        <w:t xml:space="preserve">, </w:t>
      </w:r>
      <w:r>
        <w:rPr>
          <w:b/>
          <w:bCs/>
        </w:rPr>
        <w:t>employee</w:t>
      </w:r>
      <w:r>
        <w:rPr/>
        <w:t>, etc.</w:t>
      </w:r>
    </w:p>
    <w:p>
      <w:pPr>
        <w:pStyle w:val="Heading3"/>
        <w:rPr/>
      </w:pPr>
      <w:bookmarkStart w:id="18" w:name="data-subject-categories"/>
      <w:bookmarkStart w:id="19" w:name="fields"/>
      <w:bookmarkEnd w:id="18"/>
      <w:bookmarkEnd w:id="19"/>
      <w:r>
        <w:rPr/>
        <w:t>Fields:</w:t>
      </w:r>
    </w:p>
    <w:p>
      <w:pPr>
        <w:pStyle w:val="Normal"/>
        <w:numPr>
          <w:ilvl w:val="0"/>
          <w:numId w:val="47"/>
        </w:numPr>
        <w:rPr/>
      </w:pPr>
      <w:r>
        <w:rPr>
          <w:b/>
          <w:bCs/>
        </w:rPr>
        <w:t>ID</w:t>
      </w:r>
      <w:r>
        <w:rPr/>
        <w:t>: Auto-incrementing</w:t>
      </w:r>
    </w:p>
    <w:p>
      <w:pPr>
        <w:pStyle w:val="Normal"/>
        <w:numPr>
          <w:ilvl w:val="0"/>
          <w:numId w:val="48"/>
        </w:numPr>
        <w:rPr/>
      </w:pPr>
      <w:r>
        <w:rPr>
          <w:b/>
          <w:bCs/>
        </w:rPr>
        <w:t>Category Name</w:t>
      </w:r>
      <w:r>
        <w:rPr/>
        <w:t>: This should match the name used in your database (e.g., if your database contains a “Customer” table, use "Customer" rather than an alternative term like “client”).</w:t>
      </w:r>
    </w:p>
    <w:p>
      <w:pPr>
        <w:pStyle w:val="FirstParagraph"/>
        <w:rPr/>
      </w:pPr>
      <w:r>
        <w:rPr>
          <w:b/>
          <w:bCs/>
        </w:rPr>
        <w:t>Note</w:t>
      </w:r>
      <w:r>
        <w:rPr/>
        <w:t xml:space="preserve">: We are referring to a </w:t>
      </w:r>
      <w:r>
        <w:rPr>
          <w:b/>
          <w:bCs/>
        </w:rPr>
        <w:t>primary actor</w:t>
      </w:r>
      <w:r>
        <w:rPr/>
        <w:t xml:space="preserve"> in the application—an individual who interacts directly with the application and whose personal data is collected and processed.</w:t>
      </w:r>
    </w:p>
    <w:p>
      <w:pPr>
        <w:pStyle w:val="Heading3"/>
        <w:rPr/>
      </w:pPr>
      <w:bookmarkStart w:id="20" w:name="fields"/>
      <w:bookmarkStart w:id="21" w:name="secondary-actors"/>
      <w:bookmarkEnd w:id="20"/>
      <w:bookmarkEnd w:id="21"/>
      <w:r>
        <w:rPr/>
        <w:t>Secondary Actors</w:t>
      </w:r>
    </w:p>
    <w:p>
      <w:pPr>
        <w:pStyle w:val="FirstParagraph"/>
        <w:rPr/>
      </w:pPr>
      <w:r>
        <w:rPr/>
        <w:t xml:space="preserve">Unlike a primary actor, a </w:t>
      </w:r>
      <w:r>
        <w:rPr>
          <w:b/>
          <w:bCs/>
        </w:rPr>
        <w:t>secondary actor</w:t>
      </w:r>
      <w:r>
        <w:rPr/>
        <w:t xml:space="preserve"> is an entity that receives personal data from the data subjects. This could include:</w:t>
      </w:r>
    </w:p>
    <w:p>
      <w:pPr>
        <w:pStyle w:val="Normal"/>
        <w:numPr>
          <w:ilvl w:val="0"/>
          <w:numId w:val="49"/>
        </w:numPr>
        <w:rPr/>
      </w:pPr>
      <w:r>
        <w:rPr>
          <w:b/>
          <w:bCs/>
        </w:rPr>
        <w:t>Sub-processors</w:t>
      </w:r>
      <w:r>
        <w:rPr/>
        <w:t xml:space="preserve"> (processing data on behalf of the provider)</w:t>
      </w:r>
    </w:p>
    <w:p>
      <w:pPr>
        <w:pStyle w:val="Normal"/>
        <w:numPr>
          <w:ilvl w:val="0"/>
          <w:numId w:val="50"/>
        </w:numPr>
        <w:rPr/>
      </w:pPr>
      <w:r>
        <w:rPr>
          <w:b/>
          <w:bCs/>
        </w:rPr>
        <w:t>Third parties</w:t>
      </w:r>
    </w:p>
    <w:p>
      <w:pPr>
        <w:pStyle w:val="FirstParagraph"/>
        <w:rPr/>
      </w:pPr>
      <w:r>
        <w:rPr/>
        <w:t xml:space="preserve">At least one category of secondary actor must be defined, starting with the </w:t>
      </w:r>
      <w:r>
        <w:rPr>
          <w:b/>
          <w:bCs/>
        </w:rPr>
        <w:t>supervisory authority</w:t>
      </w:r>
      <w:r>
        <w:rPr/>
        <w:t>.</w:t>
      </w:r>
    </w:p>
    <w:p>
      <w:pPr>
        <w:pStyle w:val="BodyText"/>
        <w:rPr/>
      </w:pPr>
      <w:r>
        <w:rPr>
          <w:b/>
          <w:bCs/>
        </w:rPr>
        <w:t>Example</w:t>
      </w:r>
      <w:r>
        <w:rPr/>
        <w:t xml:space="preserve">: In France, the </w:t>
      </w:r>
      <w:r>
        <w:rPr>
          <w:b/>
          <w:bCs/>
        </w:rPr>
        <w:t>CNIL</w:t>
      </w:r>
      <w:r>
        <w:rPr/>
        <w:t xml:space="preserve"> (Commission Nationale de l'Informatique et des Libertés) would be considered a secondary actor, as it is likely to receive personal data from data subjects.</w:t>
      </w:r>
    </w:p>
    <w:p>
      <w:pPr>
        <w:pStyle w:val="Heading2"/>
        <w:rPr/>
      </w:pPr>
      <w:bookmarkStart w:id="22" w:name="actors-annotation"/>
      <w:bookmarkStart w:id="23" w:name="secondary-actors"/>
      <w:bookmarkStart w:id="24" w:name="data-annotation"/>
      <w:bookmarkEnd w:id="22"/>
      <w:bookmarkEnd w:id="23"/>
      <w:bookmarkEnd w:id="24"/>
      <w:r>
        <w:rPr/>
        <w:t>2.Data’ Annotation</w:t>
      </w:r>
    </w:p>
    <w:p>
      <w:pPr>
        <w:pStyle w:val="Heading3"/>
        <w:rPr/>
      </w:pPr>
      <w:bookmarkStart w:id="25" w:name="create-a-data-annotation-instance"/>
      <w:bookmarkEnd w:id="25"/>
      <w:r>
        <w:rPr/>
        <w:t>Create a Data Annotation instance</w:t>
      </w:r>
    </w:p>
    <w:p>
      <w:pPr>
        <w:pStyle w:val="Normal"/>
        <w:numPr>
          <w:ilvl w:val="0"/>
          <w:numId w:val="51"/>
        </w:numPr>
        <w:rPr/>
      </w:pPr>
      <w:r>
        <w:rPr/>
        <w:t xml:space="preserve">Right-click on the </w:t>
      </w:r>
      <w:r>
        <w:rPr>
          <w:b/>
          <w:bCs/>
        </w:rPr>
        <w:t>model</w:t>
      </w:r>
      <w:r>
        <w:rPr/>
        <w:t>.</w:t>
      </w:r>
    </w:p>
    <w:p>
      <w:pPr>
        <w:pStyle w:val="Normal"/>
        <w:numPr>
          <w:ilvl w:val="0"/>
          <w:numId w:val="52"/>
        </w:numPr>
        <w:rPr/>
      </w:pPr>
      <w:r>
        <w:rPr/>
        <w:t xml:space="preserve">Select </w:t>
      </w:r>
      <w:r>
        <w:rPr>
          <w:rStyle w:val="VerbatimChar"/>
        </w:rPr>
        <w:t>New &gt; Data Annotation</w:t>
      </w:r>
      <w:r>
        <w:rPr/>
        <w:t xml:space="preserve"> from the context menu to create the actor annotation instance.</w:t>
      </w:r>
    </w:p>
    <w:p>
      <w:pPr>
        <w:pStyle w:val="FirstParagraph"/>
        <w:rPr/>
      </w:pPr>
      <w:r>
        <w:rPr/>
        <w:t>Data corresponds to attributes in your database and falls into two categories:</w:t>
      </w:r>
    </w:p>
    <w:p>
      <w:pPr>
        <w:pStyle w:val="BodyText"/>
        <w:rPr/>
      </w:pPr>
      <w:r>
        <w:rPr>
          <w:b/>
          <w:bCs/>
        </w:rPr>
        <w:t>Note:</w:t>
      </w:r>
      <w:r>
        <w:rPr/>
        <w:t xml:space="preserve"> Each data type only needs to be created once for any given type.</w:t>
      </w:r>
    </w:p>
    <w:p>
      <w:pPr>
        <w:pStyle w:val="Normal"/>
        <w:numPr>
          <w:ilvl w:val="0"/>
          <w:numId w:val="53"/>
        </w:numPr>
        <w:rPr/>
      </w:pPr>
      <w:r>
        <w:rPr>
          <w:b/>
          <w:bCs/>
        </w:rPr>
        <w:t>Non-personal data</w:t>
      </w:r>
      <w:r>
        <w:rPr/>
        <w:t>: Data that is not directly or indirectly linked to the identification of data subjects.</w:t>
      </w:r>
    </w:p>
    <w:p>
      <w:pPr>
        <w:pStyle w:val="Normal"/>
        <w:numPr>
          <w:ilvl w:val="0"/>
          <w:numId w:val="54"/>
        </w:numPr>
        <w:rPr/>
      </w:pPr>
      <w:r>
        <w:rPr>
          <w:b/>
          <w:bCs/>
        </w:rPr>
        <w:t>Personal data</w:t>
      </w:r>
      <w:r>
        <w:rPr/>
        <w:t>: Data that can identify a person either directly (e.g., name, address) or indirectly (e.g., identifier, location data).</w:t>
      </w:r>
    </w:p>
    <w:p>
      <w:pPr>
        <w:pStyle w:val="Heading3"/>
        <w:rPr/>
      </w:pPr>
      <w:bookmarkStart w:id="26" w:name="create-a-data-annotation-instance"/>
      <w:bookmarkStart w:id="27" w:name="data-capture-process"/>
      <w:bookmarkEnd w:id="26"/>
      <w:bookmarkEnd w:id="27"/>
      <w:r>
        <w:rPr/>
        <w:t>Data Capture Process</w:t>
      </w:r>
    </w:p>
    <w:p>
      <w:pPr>
        <w:pStyle w:val="FirstParagraph"/>
        <w:rPr/>
      </w:pPr>
      <w:r>
        <w:rPr/>
        <w:t xml:space="preserve">Data is captured by </w:t>
      </w:r>
      <w:r>
        <w:rPr>
          <w:b/>
          <w:bCs/>
        </w:rPr>
        <w:t>data type (dataType)</w:t>
      </w:r>
      <w:r>
        <w:rPr/>
        <w:t>, which corresponds to your database tables. To add or create new data, follow these steps:</w:t>
      </w:r>
    </w:p>
    <w:p>
      <w:pPr>
        <w:pStyle w:val="Normal"/>
        <w:numPr>
          <w:ilvl w:val="0"/>
          <w:numId w:val="55"/>
        </w:numPr>
        <w:rPr/>
      </w:pPr>
      <w:r>
        <w:rPr>
          <w:b/>
          <w:bCs/>
        </w:rPr>
        <w:t>To add data</w:t>
      </w:r>
      <w:r>
        <w:rPr/>
        <w:t>:</w:t>
      </w:r>
    </w:p>
    <w:p>
      <w:pPr>
        <w:pStyle w:val="Normal"/>
        <w:numPr>
          <w:ilvl w:val="0"/>
          <w:numId w:val="56"/>
        </w:numPr>
        <w:rPr/>
      </w:pPr>
      <w:r>
        <w:rPr/>
        <w:t>Position yourself on an existing line within a “dataType” (not on the last row or column).</w:t>
      </w:r>
    </w:p>
    <w:p>
      <w:pPr>
        <w:pStyle w:val="Normal"/>
        <w:numPr>
          <w:ilvl w:val="0"/>
          <w:numId w:val="57"/>
        </w:numPr>
        <w:rPr/>
      </w:pPr>
      <w:r>
        <w:rPr/>
        <w:t>Press Enter to add new data.</w:t>
      </w:r>
    </w:p>
    <w:p>
      <w:pPr>
        <w:pStyle w:val="Normal"/>
        <w:ind w:left="720"/>
        <w:rPr>
          <w:b/>
        </w:rPr>
      </w:pPr>
      <w:r>
        <w:rPr>
          <w:b/>
        </w:rPr>
        <w:t xml:space="preserve">Note: </w:t>
      </w:r>
      <w:r>
        <w:rPr/>
        <w:t xml:space="preserve">The attribute </w:t>
      </w:r>
      <w:r>
        <w:rPr>
          <w:b/>
        </w:rPr>
        <w:t xml:space="preserve">attributeName </w:t>
      </w:r>
      <w:r>
        <w:rPr/>
        <w:t xml:space="preserve">should match the name of the data attributes you will manipulate when modifying or deleting data. For example, if to modify a client's name in your database you access the </w:t>
      </w:r>
      <w:r>
        <w:rPr>
          <w:rStyle w:val="HTMLCode"/>
          <w:rFonts w:eastAsia="Aptos" w:eastAsiaTheme="minorHAnsi"/>
        </w:rPr>
        <w:t>client</w:t>
      </w:r>
      <w:r>
        <w:rPr/>
        <w:t xml:space="preserve"> table directly, you should use the column name as it appears in that table. However, for example if you are using views  and the </w:t>
      </w:r>
      <w:r>
        <w:rPr>
          <w:rStyle w:val="HTMLCode"/>
          <w:rFonts w:eastAsia="Aptos" w:eastAsiaTheme="minorHAnsi"/>
        </w:rPr>
        <w:t>name</w:t>
      </w:r>
      <w:r>
        <w:rPr/>
        <w:t xml:space="preserve"> column has been renamed to </w:t>
      </w:r>
      <w:r>
        <w:rPr>
          <w:b/>
        </w:rPr>
        <w:t>clientName</w:t>
      </w:r>
      <w:r>
        <w:rPr/>
        <w:t xml:space="preserve">, you should use </w:t>
      </w:r>
      <w:r>
        <w:rPr>
          <w:b/>
        </w:rPr>
        <w:t>clientName</w:t>
      </w:r>
    </w:p>
    <w:p>
      <w:pPr>
        <w:pStyle w:val="Normal"/>
        <w:numPr>
          <w:ilvl w:val="0"/>
          <w:numId w:val="58"/>
        </w:numPr>
        <w:rPr/>
      </w:pPr>
      <w:r>
        <w:rPr>
          <w:b/>
          <w:bCs/>
        </w:rPr>
        <w:t>To create a new “dataType”</w:t>
      </w:r>
      <w:r>
        <w:rPr/>
        <w:t>:</w:t>
      </w:r>
    </w:p>
    <w:p>
      <w:pPr>
        <w:pStyle w:val="Normal"/>
        <w:numPr>
          <w:ilvl w:val="0"/>
          <w:numId w:val="59"/>
        </w:numPr>
        <w:rPr/>
      </w:pPr>
      <w:r>
        <w:rPr/>
        <w:t>Use the last row and column of the last data entry for the current type.</w:t>
      </w:r>
    </w:p>
    <w:p>
      <w:pPr>
        <w:pStyle w:val="FirstParagraph"/>
        <w:rPr/>
      </w:pPr>
      <w:r>
        <w:rPr/>
        <w:t xml:space="preserve">There is a checkbox labeled </w:t>
      </w:r>
      <w:r>
        <w:rPr>
          <w:b/>
          <w:bCs/>
        </w:rPr>
        <w:t>‘is personal’</w:t>
      </w:r>
      <w:r>
        <w:rPr/>
        <w:t xml:space="preserve"> to distinguish between </w:t>
      </w:r>
      <w:r>
        <w:rPr>
          <w:b/>
          <w:bCs/>
        </w:rPr>
        <w:t>personal</w:t>
      </w:r>
      <w:r>
        <w:rPr/>
        <w:t xml:space="preserve"> and </w:t>
      </w:r>
      <w:r>
        <w:rPr>
          <w:b/>
          <w:bCs/>
        </w:rPr>
        <w:t>non-personal</w:t>
      </w:r>
      <w:r>
        <w:rPr/>
        <w:t xml:space="preserve"> data. If this box is checked, additional fields will appear to ensure compliance with GDPR.</w:t>
      </w:r>
    </w:p>
    <w:p>
      <w:pPr>
        <w:pStyle w:val="Heading3"/>
        <w:rPr/>
      </w:pPr>
      <w:bookmarkStart w:id="28" w:name="data-capture-process"/>
      <w:bookmarkStart w:id="29" w:name="fields-for-personal-data"/>
      <w:bookmarkEnd w:id="28"/>
      <w:bookmarkEnd w:id="29"/>
      <w:r>
        <w:rPr/>
        <w:t>Fields for Personal Data</w:t>
      </w:r>
    </w:p>
    <w:p>
      <w:pPr>
        <w:pStyle w:val="FirstParagraph"/>
        <w:rPr/>
      </w:pPr>
      <w:r>
        <w:rPr/>
        <w:t xml:space="preserve">When the data is marked as </w:t>
      </w:r>
      <w:r>
        <w:rPr>
          <w:b/>
          <w:bCs/>
        </w:rPr>
        <w:t>personal</w:t>
      </w:r>
      <w:r>
        <w:rPr/>
        <w:t>, you must fill in the following fields: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4702"/>
        <w:gridCol w:w="4703"/>
      </w:tblGrid>
      <w:tr>
        <w:trPr/>
        <w:tc>
          <w:tcPr>
            <w:tcW w:w="4702" w:type="dxa"/>
            <w:tcBorders/>
          </w:tcPr>
          <w:p>
            <w:pPr>
              <w:pStyle w:val="FirstParagraph"/>
              <w:widowControl/>
              <w:spacing w:before="180" w:after="180"/>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Field</w:t>
            </w:r>
          </w:p>
        </w:tc>
        <w:tc>
          <w:tcPr>
            <w:tcW w:w="4703" w:type="dxa"/>
            <w:tcBorders/>
          </w:tcPr>
          <w:p>
            <w:pPr>
              <w:pStyle w:val="BodyText"/>
              <w:widowControl/>
              <w:spacing w:before="180" w:after="180"/>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Description</w:t>
            </w:r>
          </w:p>
        </w:tc>
      </w:tr>
      <w:tr>
        <w:trPr/>
        <w:tc>
          <w:tcPr>
            <w:tcW w:w="4702" w:type="dxa"/>
            <w:tcBorders/>
          </w:tcPr>
          <w:p>
            <w:pPr>
              <w:pStyle w:val="BodyText"/>
              <w:widowControl/>
              <w:spacing w:before="180" w:after="180"/>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Is Primary Key</w:t>
            </w:r>
          </w:p>
        </w:tc>
        <w:tc>
          <w:tcPr>
            <w:tcW w:w="4703" w:type="dxa"/>
            <w:tcBorders/>
          </w:tcPr>
          <w:p>
            <w:pPr>
              <w:pStyle w:val="BodyText"/>
              <w:widowControl/>
              <w:spacing w:before="180" w:after="180"/>
              <w:jc w:val="left"/>
              <w:rPr>
                <w:rFonts w:ascii="Aptos" w:hAnsi="Aptos" w:eastAsia="Aptos" w:cs=""/>
                <w:kern w:val="0"/>
                <w:sz w:val="24"/>
                <w:szCs w:val="24"/>
                <w:lang w:val="en-US" w:eastAsia="en-US" w:bidi="ar-SA"/>
              </w:rPr>
            </w:pPr>
            <w:r>
              <w:rPr>
                <w:rFonts w:eastAsia="Aptos" w:cs=""/>
                <w:kern w:val="0"/>
                <w:sz w:val="24"/>
                <w:szCs w:val="24"/>
                <w:lang w:val="en-US" w:eastAsia="en-US" w:bidi="ar-SA"/>
              </w:rPr>
              <w:t>Check if this data is part of the table’s primary key.</w:t>
            </w:r>
          </w:p>
        </w:tc>
      </w:tr>
      <w:tr>
        <w:trPr/>
        <w:tc>
          <w:tcPr>
            <w:tcW w:w="4702" w:type="dxa"/>
            <w:tcBorders/>
          </w:tcPr>
          <w:p>
            <w:pPr>
              <w:pStyle w:val="BodyText"/>
              <w:widowControl/>
              <w:spacing w:before="180" w:after="180"/>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Retention Period</w:t>
            </w:r>
          </w:p>
        </w:tc>
        <w:tc>
          <w:tcPr>
            <w:tcW w:w="4703" w:type="dxa"/>
            <w:tcBorders/>
          </w:tcPr>
          <w:p>
            <w:pPr>
              <w:pStyle w:val="BodyText"/>
              <w:widowControl/>
              <w:spacing w:before="180" w:after="180"/>
              <w:jc w:val="left"/>
              <w:rPr>
                <w:rFonts w:ascii="Aptos" w:hAnsi="Aptos" w:eastAsia="Aptos" w:cs=""/>
                <w:kern w:val="0"/>
                <w:sz w:val="24"/>
                <w:szCs w:val="24"/>
                <w:lang w:val="en-US" w:eastAsia="en-US" w:bidi="ar-SA"/>
              </w:rPr>
            </w:pPr>
            <w:r>
              <w:rPr>
                <w:rFonts w:eastAsia="Aptos" w:cs=""/>
                <w:kern w:val="0"/>
                <w:sz w:val="24"/>
                <w:szCs w:val="24"/>
                <w:lang w:val="en-US" w:eastAsia="en-US" w:bidi="ar-SA"/>
              </w:rPr>
              <w:t>Specify the number of months the data will be retained.</w:t>
            </w:r>
          </w:p>
        </w:tc>
      </w:tr>
      <w:tr>
        <w:trPr/>
        <w:tc>
          <w:tcPr>
            <w:tcW w:w="4702" w:type="dxa"/>
            <w:tcBorders/>
          </w:tcPr>
          <w:p>
            <w:pPr>
              <w:pStyle w:val="BodyText"/>
              <w:widowControl/>
              <w:spacing w:before="180" w:after="180"/>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Source</w:t>
            </w:r>
          </w:p>
        </w:tc>
        <w:tc>
          <w:tcPr>
            <w:tcW w:w="4703" w:type="dxa"/>
            <w:tcBorders/>
          </w:tcPr>
          <w:p>
            <w:pPr>
              <w:pStyle w:val="BodyText"/>
              <w:widowControl/>
              <w:spacing w:before="180" w:after="180"/>
              <w:jc w:val="left"/>
              <w:rPr>
                <w:rFonts w:ascii="Aptos" w:hAnsi="Aptos" w:eastAsia="Aptos" w:cs=""/>
                <w:kern w:val="0"/>
                <w:sz w:val="24"/>
                <w:szCs w:val="24"/>
                <w:lang w:val="en-US" w:eastAsia="en-US" w:bidi="ar-SA"/>
              </w:rPr>
            </w:pPr>
            <w:r>
              <w:rPr>
                <w:rFonts w:eastAsia="Aptos" w:cs=""/>
                <w:kern w:val="0"/>
                <w:sz w:val="24"/>
                <w:szCs w:val="24"/>
                <w:lang w:val="en-US" w:eastAsia="en-US" w:bidi="ar-SA"/>
              </w:rPr>
              <w:t>Choose one of three values:</w:t>
              <w:br/>
              <w:t xml:space="preserve">- </w:t>
            </w:r>
            <w:r>
              <w:rPr>
                <w:rFonts w:eastAsia="Aptos" w:cs=""/>
                <w:b/>
                <w:bCs/>
                <w:kern w:val="0"/>
                <w:sz w:val="24"/>
                <w:szCs w:val="24"/>
                <w:lang w:val="en-US" w:eastAsia="en-US" w:bidi="ar-SA"/>
              </w:rPr>
              <w:t>Direct</w:t>
            </w:r>
            <w:r>
              <w:rPr>
                <w:rFonts w:eastAsia="Aptos" w:cs=""/>
                <w:kern w:val="0"/>
                <w:sz w:val="24"/>
                <w:szCs w:val="24"/>
                <w:lang w:val="en-US" w:eastAsia="en-US" w:bidi="ar-SA"/>
              </w:rPr>
              <w:t>: Data obtained from the Data Subject or connected devices.</w:t>
              <w:br/>
              <w:t xml:space="preserve">- </w:t>
            </w:r>
            <w:r>
              <w:rPr>
                <w:rFonts w:eastAsia="Aptos" w:cs=""/>
                <w:b/>
                <w:bCs/>
                <w:kern w:val="0"/>
                <w:sz w:val="24"/>
                <w:szCs w:val="24"/>
                <w:lang w:val="en-US" w:eastAsia="en-US" w:bidi="ar-SA"/>
              </w:rPr>
              <w:t>Indirect</w:t>
            </w:r>
            <w:r>
              <w:rPr>
                <w:rFonts w:eastAsia="Aptos" w:cs=""/>
                <w:kern w:val="0"/>
                <w:sz w:val="24"/>
                <w:szCs w:val="24"/>
                <w:lang w:val="en-US" w:eastAsia="en-US" w:bidi="ar-SA"/>
              </w:rPr>
              <w:t>: Data from a different source (e.g., websites or another provider).</w:t>
              <w:br/>
              <w:t xml:space="preserve">- </w:t>
            </w:r>
            <w:r>
              <w:rPr>
                <w:rFonts w:eastAsia="Aptos" w:cs=""/>
                <w:b/>
                <w:bCs/>
                <w:kern w:val="0"/>
                <w:sz w:val="24"/>
                <w:szCs w:val="24"/>
                <w:lang w:val="en-US" w:eastAsia="en-US" w:bidi="ar-SA"/>
              </w:rPr>
              <w:t>Generated</w:t>
            </w:r>
            <w:r>
              <w:rPr>
                <w:rFonts w:eastAsia="Aptos" w:cs=""/>
                <w:kern w:val="0"/>
                <w:sz w:val="24"/>
                <w:szCs w:val="24"/>
                <w:lang w:val="en-US" w:eastAsia="en-US" w:bidi="ar-SA"/>
              </w:rPr>
              <w:t>: Data inferred, automatically generated, or deduced by tools.</w:t>
            </w:r>
          </w:p>
        </w:tc>
      </w:tr>
      <w:tr>
        <w:trPr/>
        <w:tc>
          <w:tcPr>
            <w:tcW w:w="4702" w:type="dxa"/>
            <w:tcBorders/>
          </w:tcPr>
          <w:p>
            <w:pPr>
              <w:pStyle w:val="BodyText"/>
              <w:widowControl/>
              <w:spacing w:before="180" w:after="180"/>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Source Details</w:t>
            </w:r>
          </w:p>
        </w:tc>
        <w:tc>
          <w:tcPr>
            <w:tcW w:w="4703" w:type="dxa"/>
            <w:tcBorders/>
          </w:tcPr>
          <w:p>
            <w:pPr>
              <w:pStyle w:val="BodyText"/>
              <w:widowControl/>
              <w:spacing w:before="180" w:after="180"/>
              <w:jc w:val="left"/>
              <w:rPr>
                <w:rFonts w:ascii="Aptos" w:hAnsi="Aptos" w:eastAsia="Aptos" w:cs=""/>
                <w:kern w:val="0"/>
                <w:sz w:val="24"/>
                <w:szCs w:val="24"/>
                <w:lang w:val="en-US" w:eastAsia="en-US" w:bidi="ar-SA"/>
              </w:rPr>
            </w:pPr>
            <w:r>
              <w:rPr>
                <w:rFonts w:eastAsia="Aptos" w:cs=""/>
                <w:kern w:val="0"/>
                <w:sz w:val="24"/>
                <w:szCs w:val="24"/>
                <w:lang w:val="en-US" w:eastAsia="en-US" w:bidi="ar-SA"/>
              </w:rPr>
              <w:t>For indirect data sources, provide specific details about the exact source of the data.</w:t>
            </w:r>
          </w:p>
        </w:tc>
      </w:tr>
      <w:tr>
        <w:trPr/>
        <w:tc>
          <w:tcPr>
            <w:tcW w:w="4702" w:type="dxa"/>
            <w:tcBorders/>
          </w:tcPr>
          <w:p>
            <w:pPr>
              <w:pStyle w:val="BodyText"/>
              <w:widowControl/>
              <w:spacing w:before="180" w:after="180"/>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Is Portable</w:t>
            </w:r>
          </w:p>
        </w:tc>
        <w:tc>
          <w:tcPr>
            <w:tcW w:w="4703" w:type="dxa"/>
            <w:tcBorders/>
          </w:tcPr>
          <w:p>
            <w:pPr>
              <w:pStyle w:val="BodyText"/>
              <w:widowControl/>
              <w:spacing w:before="180" w:after="180"/>
              <w:jc w:val="left"/>
              <w:rPr>
                <w:rFonts w:ascii="Aptos" w:hAnsi="Aptos" w:eastAsia="Aptos" w:cs=""/>
                <w:kern w:val="0"/>
                <w:sz w:val="24"/>
                <w:szCs w:val="24"/>
                <w:lang w:val="en-US" w:eastAsia="en-US" w:bidi="ar-SA"/>
              </w:rPr>
            </w:pPr>
            <w:r>
              <w:rPr>
                <w:rFonts w:eastAsia="Aptos" w:cs=""/>
                <w:kern w:val="0"/>
                <w:sz w:val="24"/>
                <w:szCs w:val="24"/>
                <w:lang w:val="en-US" w:eastAsia="en-US" w:bidi="ar-SA"/>
              </w:rPr>
              <w:t>Indicates whether the data can be downloaded or transferred in compliance with the right to data portability.</w:t>
              <w:br/>
              <w:t xml:space="preserve">- All </w:t>
            </w:r>
            <w:r>
              <w:rPr>
                <w:rFonts w:eastAsia="Aptos" w:cs=""/>
                <w:b/>
                <w:bCs/>
                <w:kern w:val="0"/>
                <w:sz w:val="24"/>
                <w:szCs w:val="24"/>
                <w:lang w:val="en-US" w:eastAsia="en-US" w:bidi="ar-SA"/>
              </w:rPr>
              <w:t>direct</w:t>
            </w:r>
            <w:r>
              <w:rPr>
                <w:rFonts w:eastAsia="Aptos" w:cs=""/>
                <w:kern w:val="0"/>
                <w:sz w:val="24"/>
                <w:szCs w:val="24"/>
                <w:lang w:val="en-US" w:eastAsia="en-US" w:bidi="ar-SA"/>
              </w:rPr>
              <w:t xml:space="preserve"> source data is portable.</w:t>
              <w:br/>
              <w:t xml:space="preserve">- Any data from a </w:t>
            </w:r>
            <w:r>
              <w:rPr>
                <w:rFonts w:eastAsia="Aptos" w:cs=""/>
                <w:b/>
                <w:bCs/>
                <w:kern w:val="0"/>
                <w:sz w:val="24"/>
                <w:szCs w:val="24"/>
                <w:lang w:val="en-US" w:eastAsia="en-US" w:bidi="ar-SA"/>
              </w:rPr>
              <w:t>generated</w:t>
            </w:r>
            <w:r>
              <w:rPr>
                <w:rFonts w:eastAsia="Aptos" w:cs=""/>
                <w:kern w:val="0"/>
                <w:sz w:val="24"/>
                <w:szCs w:val="24"/>
                <w:lang w:val="en-US" w:eastAsia="en-US" w:bidi="ar-SA"/>
              </w:rPr>
              <w:t xml:space="preserve"> source is non-portable.</w:t>
            </w:r>
          </w:p>
        </w:tc>
      </w:tr>
      <w:tr>
        <w:trPr/>
        <w:tc>
          <w:tcPr>
            <w:tcW w:w="4702" w:type="dxa"/>
            <w:tcBorders/>
          </w:tcPr>
          <w:p>
            <w:pPr>
              <w:pStyle w:val="BodyText"/>
              <w:widowControl/>
              <w:spacing w:before="180" w:after="180"/>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Personal Data Category</w:t>
            </w:r>
          </w:p>
        </w:tc>
        <w:tc>
          <w:tcPr>
            <w:tcW w:w="4703" w:type="dxa"/>
            <w:tcBorders/>
          </w:tcPr>
          <w:p>
            <w:pPr>
              <w:pStyle w:val="BodyText"/>
              <w:widowControl/>
              <w:spacing w:before="180" w:after="180"/>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Select from predefined categories (press </w:t>
            </w:r>
            <w:r>
              <w:rPr>
                <w:rStyle w:val="VerbatimChar"/>
                <w:rFonts w:eastAsia="Aptos" w:cs=""/>
                <w:kern w:val="0"/>
                <w:szCs w:val="24"/>
                <w:lang w:val="en-US" w:eastAsia="en-US" w:bidi="ar-SA"/>
              </w:rPr>
              <w:t>Ctrl + Space</w:t>
            </w:r>
            <w:r>
              <w:rPr>
                <w:rFonts w:eastAsia="Aptos" w:cs=""/>
                <w:kern w:val="0"/>
                <w:sz w:val="24"/>
                <w:szCs w:val="24"/>
                <w:lang w:val="en-US" w:eastAsia="en-US" w:bidi="ar-SA"/>
              </w:rPr>
              <w:t xml:space="preserve"> to access the list):</w:t>
              <w:br/>
              <w:t xml:space="preserve">- </w:t>
            </w:r>
            <w:r>
              <w:rPr>
                <w:rFonts w:eastAsia="Aptos" w:cs=""/>
                <w:b/>
                <w:bCs/>
                <w:kern w:val="0"/>
                <w:sz w:val="24"/>
                <w:szCs w:val="24"/>
                <w:lang w:val="en-US" w:eastAsia="en-US" w:bidi="ar-SA"/>
              </w:rPr>
              <w:t>Identification</w:t>
            </w:r>
            <w:r>
              <w:rPr>
                <w:rFonts w:eastAsia="Aptos" w:cs=""/>
                <w:kern w:val="0"/>
                <w:sz w:val="24"/>
                <w:szCs w:val="24"/>
                <w:lang w:val="en-US" w:eastAsia="en-US" w:bidi="ar-SA"/>
              </w:rPr>
              <w:t xml:space="preserve"> (e.g., surname, first name)</w:t>
              <w:br/>
              <w:t xml:space="preserve">- </w:t>
            </w:r>
            <w:r>
              <w:rPr>
                <w:rFonts w:eastAsia="Aptos" w:cs=""/>
                <w:b/>
                <w:bCs/>
                <w:kern w:val="0"/>
                <w:sz w:val="24"/>
                <w:szCs w:val="24"/>
                <w:lang w:val="en-US" w:eastAsia="en-US" w:bidi="ar-SA"/>
              </w:rPr>
              <w:t>Physical</w:t>
            </w:r>
            <w:r>
              <w:rPr>
                <w:rFonts w:eastAsia="Aptos" w:cs=""/>
                <w:kern w:val="0"/>
                <w:sz w:val="24"/>
                <w:szCs w:val="24"/>
                <w:lang w:val="en-US" w:eastAsia="en-US" w:bidi="ar-SA"/>
              </w:rPr>
              <w:t xml:space="preserve"> (e.g., weight)</w:t>
              <w:br/>
              <w:t xml:space="preserve">- </w:t>
            </w:r>
            <w:r>
              <w:rPr>
                <w:rFonts w:eastAsia="Aptos" w:cs=""/>
                <w:b/>
                <w:bCs/>
                <w:kern w:val="0"/>
                <w:sz w:val="24"/>
                <w:szCs w:val="24"/>
                <w:lang w:val="en-US" w:eastAsia="en-US" w:bidi="ar-SA"/>
              </w:rPr>
              <w:t>Sensitive data</w:t>
            </w:r>
            <w:r>
              <w:rPr>
                <w:rFonts w:eastAsia="Aptos" w:cs=""/>
                <w:kern w:val="0"/>
                <w:sz w:val="24"/>
                <w:szCs w:val="24"/>
                <w:lang w:val="en-US" w:eastAsia="en-US" w:bidi="ar-SA"/>
              </w:rPr>
              <w:t xml:space="preserve"> (e.g., health information, political opinions)</w:t>
            </w:r>
          </w:p>
        </w:tc>
      </w:tr>
      <w:tr>
        <w:trPr/>
        <w:tc>
          <w:tcPr>
            <w:tcW w:w="4702" w:type="dxa"/>
            <w:tcBorders/>
          </w:tcPr>
          <w:p>
            <w:pPr>
              <w:pStyle w:val="BodyText"/>
              <w:widowControl/>
              <w:spacing w:before="180" w:after="180"/>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Personal Data Category Association</w:t>
            </w:r>
          </w:p>
        </w:tc>
        <w:tc>
          <w:tcPr>
            <w:tcW w:w="4703" w:type="dxa"/>
            <w:tcBorders/>
          </w:tcPr>
          <w:p>
            <w:pPr>
              <w:pStyle w:val="BodyText"/>
              <w:widowControl/>
              <w:spacing w:before="180" w:after="180"/>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Each piece of personal data must be linked to a </w:t>
            </w:r>
            <w:r>
              <w:rPr>
                <w:rFonts w:eastAsia="Aptos" w:cs=""/>
                <w:b/>
                <w:bCs/>
                <w:kern w:val="0"/>
                <w:sz w:val="24"/>
                <w:szCs w:val="24"/>
                <w:lang w:val="en-US" w:eastAsia="en-US" w:bidi="ar-SA"/>
              </w:rPr>
              <w:t>data subject category</w:t>
            </w:r>
            <w:r>
              <w:rPr>
                <w:rFonts w:eastAsia="Aptos" w:cs=""/>
                <w:kern w:val="0"/>
                <w:sz w:val="24"/>
                <w:szCs w:val="24"/>
                <w:lang w:val="en-US" w:eastAsia="en-US" w:bidi="ar-SA"/>
              </w:rPr>
              <w:t>.</w:t>
              <w:br/>
              <w:t>Example: “Salary” in the database should be associated with the “Employee” category.</w:t>
            </w:r>
          </w:p>
        </w:tc>
      </w:tr>
    </w:tbl>
    <w:p>
      <w:pPr>
        <w:pStyle w:val="Heading2"/>
        <w:rPr/>
      </w:pPr>
      <w:bookmarkStart w:id="30" w:name="data-annotation"/>
      <w:bookmarkStart w:id="31" w:name="fields-for-personal-data"/>
      <w:bookmarkEnd w:id="30"/>
      <w:bookmarkEnd w:id="31"/>
      <w:r>
        <w:rPr/>
        <w:t>Processing Activities</w:t>
      </w:r>
    </w:p>
    <w:p>
      <w:pPr>
        <w:pStyle w:val="Heading3"/>
        <w:rPr/>
      </w:pPr>
      <w:bookmarkStart w:id="32" w:name="create-a-processing-annotation-instance"/>
      <w:bookmarkEnd w:id="32"/>
      <w:r>
        <w:rPr/>
        <w:t>Create a Processing Annotation instance</w:t>
      </w:r>
    </w:p>
    <w:p>
      <w:pPr>
        <w:pStyle w:val="Normal"/>
        <w:numPr>
          <w:ilvl w:val="0"/>
          <w:numId w:val="60"/>
        </w:numPr>
        <w:rPr/>
      </w:pPr>
      <w:r>
        <w:rPr/>
        <w:t xml:space="preserve">Right-click on the </w:t>
      </w:r>
      <w:r>
        <w:rPr>
          <w:b/>
          <w:bCs/>
        </w:rPr>
        <w:t>model</w:t>
      </w:r>
      <w:r>
        <w:rPr/>
        <w:t>.</w:t>
      </w:r>
    </w:p>
    <w:p>
      <w:pPr>
        <w:pStyle w:val="Normal"/>
        <w:numPr>
          <w:ilvl w:val="0"/>
          <w:numId w:val="61"/>
        </w:numPr>
        <w:rPr/>
      </w:pPr>
      <w:r>
        <w:rPr/>
        <w:t xml:space="preserve">Select </w:t>
      </w:r>
      <w:r>
        <w:rPr>
          <w:rStyle w:val="VerbatimChar"/>
        </w:rPr>
        <w:t>New &gt; Processing Annotation</w:t>
      </w:r>
      <w:r>
        <w:rPr/>
        <w:t xml:space="preserve"> from the context menu to create the actor annotation instance.</w:t>
      </w:r>
    </w:p>
    <w:p>
      <w:pPr>
        <w:pStyle w:val="FirstParagraph"/>
        <w:rPr/>
      </w:pPr>
      <w:r>
        <w:rPr/>
        <w:t>Processing in the regulation means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pStyle w:val="BodyText"/>
        <w:rPr/>
      </w:pPr>
      <w:r>
        <w:rPr>
          <w:rStyle w:val="Strong"/>
        </w:rPr>
        <w:t>Note</w:t>
      </w:r>
      <w:r>
        <w:rPr/>
        <w:t>: The functionalities should not be at a very low level of granularity, such as CRUD (Create, Read, Update, Delete).</w:t>
      </w:r>
    </w:p>
    <w:p>
      <w:pPr>
        <w:pStyle w:val="BodyText"/>
        <w:rPr/>
      </w:pPr>
      <w:r>
        <w:rPr/>
        <w:t>In our case, you’ll be declaring all processing operations involving the personal data of data subjects. For each processing activity, you’ll need to specify the following:</w:t>
      </w:r>
    </w:p>
    <w:p>
      <w:pPr>
        <w:pStyle w:val="Heading3"/>
        <w:rPr/>
      </w:pPr>
      <w:bookmarkStart w:id="33" w:name="create-a-processing-annotation-instance"/>
      <w:bookmarkStart w:id="34" w:name="processing-id"/>
      <w:bookmarkEnd w:id="33"/>
      <w:bookmarkEnd w:id="34"/>
      <w:r>
        <w:rPr/>
        <w:t>1. Processing ID</w:t>
      </w:r>
    </w:p>
    <w:p>
      <w:pPr>
        <w:pStyle w:val="Normal"/>
        <w:numPr>
          <w:ilvl w:val="0"/>
          <w:numId w:val="62"/>
        </w:numPr>
        <w:rPr/>
      </w:pPr>
      <w:r>
        <w:rPr/>
        <w:t xml:space="preserve">This corresponds to the module name/class name and method name (e.g., </w:t>
      </w:r>
      <w:r>
        <w:rPr>
          <w:rStyle w:val="HTMLCode"/>
          <w:rFonts w:eastAsia="Aptos" w:eastAsiaTheme="minorHAnsi"/>
        </w:rPr>
        <w:t>OrderAddCard</w:t>
      </w:r>
      <w:r>
        <w:rPr/>
        <w:t xml:space="preserve">, where </w:t>
      </w:r>
      <w:r>
        <w:rPr>
          <w:rStyle w:val="HTMLCode"/>
          <w:rFonts w:eastAsia="Aptos" w:eastAsiaTheme="minorHAnsi"/>
        </w:rPr>
        <w:t>Order</w:t>
      </w:r>
      <w:r>
        <w:rPr/>
        <w:t xml:space="preserve"> is the class name and  </w:t>
      </w:r>
      <w:r>
        <w:rPr>
          <w:rStyle w:val="HTMLCode"/>
          <w:rFonts w:eastAsia="Aptos" w:eastAsiaTheme="minorHAnsi"/>
        </w:rPr>
        <w:t>AddCard()</w:t>
      </w:r>
      <w:r>
        <w:rPr/>
        <w:t xml:space="preserve"> is the method name)..</w:t>
      </w:r>
    </w:p>
    <w:p>
      <w:pPr>
        <w:pStyle w:val="Heading3"/>
        <w:rPr/>
      </w:pPr>
      <w:bookmarkStart w:id="35" w:name="processing-id"/>
      <w:bookmarkStart w:id="36" w:name="processing-name-or-description"/>
      <w:bookmarkEnd w:id="35"/>
      <w:bookmarkEnd w:id="36"/>
      <w:r>
        <w:rPr/>
        <w:t>2. Processing Name or Description</w:t>
      </w:r>
    </w:p>
    <w:p>
      <w:pPr>
        <w:pStyle w:val="Normal"/>
        <w:numPr>
          <w:ilvl w:val="0"/>
          <w:numId w:val="63"/>
        </w:numPr>
        <w:rPr/>
      </w:pPr>
      <w:r>
        <w:rPr/>
        <w:t>This is the name or description displayed to the data subject, which should be clear and meaningful.</w:t>
      </w:r>
    </w:p>
    <w:p>
      <w:pPr>
        <w:pStyle w:val="Heading3"/>
        <w:rPr/>
      </w:pPr>
      <w:bookmarkStart w:id="37" w:name="processing-name-or-description"/>
      <w:bookmarkStart w:id="38" w:name="category"/>
      <w:bookmarkEnd w:id="37"/>
      <w:bookmarkEnd w:id="38"/>
      <w:r>
        <w:rPr/>
        <w:t>3. Category</w:t>
      </w:r>
    </w:p>
    <w:p>
      <w:pPr>
        <w:pStyle w:val="Normal"/>
        <w:numPr>
          <w:ilvl w:val="0"/>
          <w:numId w:val="64"/>
        </w:numPr>
        <w:rPr/>
      </w:pPr>
      <w:r>
        <w:rPr/>
        <w:t>This corresponds to one of the legal bases cited in Article 6 of the GDPR:</w:t>
      </w:r>
    </w:p>
    <w:p>
      <w:pPr>
        <w:pStyle w:val="Normal"/>
        <w:numPr>
          <w:ilvl w:val="1"/>
          <w:numId w:val="65"/>
        </w:numPr>
        <w:rPr/>
      </w:pPr>
      <w:r>
        <w:rPr>
          <w:b/>
          <w:bCs/>
        </w:rPr>
        <w:t>1. Consent/Contract:</w:t>
      </w:r>
      <w:r>
        <w:rPr/>
        <w:br/>
        <w:t>When the data subject gives their consent to a specific processing operation, or when processing is necessary for the performance of a contract to which the data subject is a party.</w:t>
        <w:br/>
      </w:r>
      <w:r>
        <w:rPr>
          <w:i/>
          <w:iCs/>
        </w:rPr>
        <w:t>Example:</w:t>
      </w:r>
      <w:r>
        <w:rPr/>
        <w:t xml:space="preserve"> A user accepts the terms of use when registering for an online platform (consent), and their data is processed to provide access to the platform’s services (contract).</w:t>
      </w:r>
    </w:p>
    <w:p>
      <w:pPr>
        <w:pStyle w:val="Normal"/>
        <w:numPr>
          <w:ilvl w:val="1"/>
          <w:numId w:val="66"/>
        </w:numPr>
        <w:rPr/>
      </w:pPr>
      <w:r>
        <w:rPr>
          <w:b/>
          <w:bCs/>
        </w:rPr>
        <w:t>2. Legal Obligation:</w:t>
      </w:r>
      <w:r>
        <w:rPr/>
        <w:br/>
        <w:t>When processing is necessary to comply with a legal obligation.</w:t>
        <w:br/>
      </w:r>
      <w:r>
        <w:rPr>
          <w:i/>
          <w:iCs/>
        </w:rPr>
        <w:t>Example:</w:t>
      </w:r>
      <w:r>
        <w:rPr/>
        <w:t xml:space="preserve"> A company collects tax data from its employees to comply with tax legislation.</w:t>
      </w:r>
    </w:p>
    <w:p>
      <w:pPr>
        <w:pStyle w:val="Normal"/>
        <w:numPr>
          <w:ilvl w:val="1"/>
          <w:numId w:val="67"/>
        </w:numPr>
        <w:rPr/>
      </w:pPr>
      <w:r>
        <w:rPr>
          <w:b/>
          <w:bCs/>
        </w:rPr>
        <w:t>3. Vital Interest:</w:t>
      </w:r>
      <w:r>
        <w:rPr/>
        <w:br/>
        <w:t>When processing is necessary to protect the vital interests of the data subject or another person.</w:t>
        <w:br/>
      </w:r>
      <w:r>
        <w:rPr>
          <w:i/>
          <w:iCs/>
        </w:rPr>
        <w:t>Example:</w:t>
      </w:r>
      <w:r>
        <w:rPr/>
        <w:t xml:space="preserve"> A hospital processes the medical data of an unconscious patient to provide emergency care.</w:t>
      </w:r>
    </w:p>
    <w:p>
      <w:pPr>
        <w:pStyle w:val="Normal"/>
        <w:numPr>
          <w:ilvl w:val="1"/>
          <w:numId w:val="68"/>
        </w:numPr>
        <w:rPr/>
      </w:pPr>
      <w:r>
        <w:rPr>
          <w:b/>
          <w:bCs/>
        </w:rPr>
        <w:t>4. Public Task:</w:t>
      </w:r>
      <w:r>
        <w:rPr/>
        <w:br/>
        <w:t>When processing is necessary for the performance of a task carried out in the public interest or in the exercise of public authority.</w:t>
        <w:br/>
      </w:r>
      <w:r>
        <w:rPr>
          <w:i/>
          <w:iCs/>
        </w:rPr>
        <w:t>Example:</w:t>
      </w:r>
      <w:r>
        <w:rPr/>
        <w:t xml:space="preserve"> A public authority collects personal data to manage school enrollments.</w:t>
      </w:r>
    </w:p>
    <w:p>
      <w:pPr>
        <w:pStyle w:val="Normal"/>
        <w:numPr>
          <w:ilvl w:val="1"/>
          <w:numId w:val="69"/>
        </w:numPr>
        <w:rPr/>
      </w:pPr>
      <w:r>
        <w:rPr>
          <w:b/>
          <w:bCs/>
        </w:rPr>
        <w:t>5. Legitimate Interest:</w:t>
      </w:r>
      <w:r>
        <w:rPr/>
        <w:br/>
        <w:t>When processing is necessary for the legitimate interests of the provider or a third party, unless these interests are overridden by the fundamental rights and freedoms of the data subject.</w:t>
        <w:br/>
      </w:r>
      <w:r>
        <w:rPr>
          <w:rStyle w:val="Strong"/>
        </w:rPr>
        <w:t>Example:</w:t>
      </w:r>
      <w:r>
        <w:rPr/>
        <w:t xml:space="preserve"> Analyze examples (e.g., analyze the security of a website).</w:t>
      </w:r>
    </w:p>
    <w:p>
      <w:pPr>
        <w:pStyle w:val="Heading3"/>
        <w:rPr/>
      </w:pPr>
      <w:bookmarkStart w:id="39" w:name="category"/>
      <w:bookmarkStart w:id="40" w:name="type"/>
      <w:bookmarkEnd w:id="39"/>
      <w:bookmarkEnd w:id="40"/>
      <w:r>
        <w:rPr/>
        <w:t>4. Type</w:t>
      </w:r>
    </w:p>
    <w:p>
      <w:pPr>
        <w:pStyle w:val="Normal"/>
        <w:numPr>
          <w:ilvl w:val="0"/>
          <w:numId w:val="70"/>
        </w:numPr>
        <w:rPr/>
      </w:pPr>
      <w:r>
        <w:rPr>
          <w:b/>
          <w:bCs/>
        </w:rPr>
        <w:t>Processing type:</w:t>
      </w:r>
      <w:r>
        <w:rPr/>
        <w:t xml:space="preserve"> A processing operation can have one of four types:</w:t>
      </w:r>
    </w:p>
    <w:p>
      <w:pPr>
        <w:pStyle w:val="Normal"/>
        <w:numPr>
          <w:ilvl w:val="1"/>
          <w:numId w:val="71"/>
        </w:numPr>
        <w:rPr/>
      </w:pPr>
      <w:r>
        <w:rPr>
          <w:b/>
          <w:bCs/>
        </w:rPr>
        <w:t>Necessary:</w:t>
      </w:r>
      <w:r>
        <w:rPr/>
        <w:t xml:space="preserve"> These are the basic functionalities of an application. The data subject’s consent is required to use the application (e.g., tracking the evolution of a member’s weight).</w:t>
      </w:r>
    </w:p>
    <w:p>
      <w:pPr>
        <w:pStyle w:val="Normal"/>
        <w:numPr>
          <w:ilvl w:val="1"/>
          <w:numId w:val="72"/>
        </w:numPr>
        <w:rPr/>
      </w:pPr>
      <w:r>
        <w:rPr>
          <w:b/>
          <w:bCs/>
        </w:rPr>
        <w:t>Mandatory:</w:t>
      </w:r>
      <w:r>
        <w:rPr/>
        <w:t xml:space="preserve"> Any processing of personal data necessary for the basic functioning of the application. Without the data subject’s consent, the application cannot be used.</w:t>
      </w:r>
    </w:p>
    <w:p>
      <w:pPr>
        <w:pStyle w:val="Normal"/>
        <w:numPr>
          <w:ilvl w:val="1"/>
          <w:numId w:val="73"/>
        </w:numPr>
        <w:rPr/>
      </w:pPr>
      <w:r>
        <w:rPr>
          <w:b/>
          <w:bCs/>
        </w:rPr>
        <w:t>Optional:</w:t>
      </w:r>
      <w:r>
        <w:rPr/>
        <w:t xml:space="preserve"> These processings do not impact the core functionality of the application if the data subject refuses or withdraws consent (e.g., profiling).</w:t>
      </w:r>
    </w:p>
    <w:p>
      <w:pPr>
        <w:pStyle w:val="Normal"/>
        <w:numPr>
          <w:ilvl w:val="1"/>
          <w:numId w:val="74"/>
        </w:numPr>
        <w:rPr/>
      </w:pPr>
      <w:r>
        <w:rPr>
          <w:b/>
          <w:bCs/>
        </w:rPr>
        <w:t>Default:</w:t>
      </w:r>
      <w:r>
        <w:rPr/>
        <w:t xml:space="preserve"> These processings do not require the data subject’s consent. For example, signing in a data subject is a default processing.</w:t>
      </w:r>
    </w:p>
    <w:p>
      <w:pPr>
        <w:pStyle w:val="Heading3"/>
        <w:rPr/>
      </w:pPr>
      <w:bookmarkStart w:id="41" w:name="type"/>
      <w:bookmarkStart w:id="42" w:name="purpose"/>
      <w:bookmarkEnd w:id="41"/>
      <w:bookmarkEnd w:id="42"/>
      <w:r>
        <w:rPr/>
        <w:t>5. Purpose</w:t>
      </w:r>
    </w:p>
    <w:p>
      <w:pPr>
        <w:pStyle w:val="Normal"/>
        <w:numPr>
          <w:ilvl w:val="0"/>
          <w:numId w:val="75"/>
        </w:numPr>
        <w:rPr/>
      </w:pPr>
      <w:r>
        <w:rPr/>
        <w:t>This is the goal of the processing. There must be one main purpose, but secondary purposes can be added.</w:t>
      </w:r>
    </w:p>
    <w:p>
      <w:pPr>
        <w:pStyle w:val="Heading3"/>
        <w:rPr/>
      </w:pPr>
      <w:bookmarkStart w:id="43" w:name="purpose"/>
      <w:bookmarkStart w:id="44" w:name="datausage-in-processing-operations"/>
      <w:bookmarkEnd w:id="43"/>
      <w:bookmarkEnd w:id="44"/>
      <w:r>
        <w:rPr/>
        <w:t>DataUsage in Processing Operations</w:t>
      </w:r>
    </w:p>
    <w:p>
      <w:pPr>
        <w:pStyle w:val="FirstParagraph"/>
        <w:rPr/>
      </w:pPr>
      <w:r>
        <w:rPr/>
        <w:t xml:space="preserve">Each processing operation uses one or more data points. </w:t>
      </w:r>
      <w:r>
        <w:rPr>
          <w:b/>
          <w:bCs/>
        </w:rPr>
        <w:t>DataUsage</w:t>
      </w:r>
      <w:r>
        <w:rPr/>
        <w:t xml:space="preserve"> is used to specify this information.</w:t>
      </w:r>
    </w:p>
    <w:p>
      <w:pPr>
        <w:pStyle w:val="Heading3"/>
        <w:rPr/>
      </w:pPr>
      <w:bookmarkStart w:id="45" w:name="datausage-in-processing-operations"/>
      <w:bookmarkStart w:id="46" w:name="has-personal-status"/>
      <w:bookmarkEnd w:id="45"/>
      <w:bookmarkEnd w:id="46"/>
      <w:r>
        <w:rPr/>
        <w:t>1. Has Personal Status</w:t>
      </w:r>
    </w:p>
    <w:p>
      <w:pPr>
        <w:pStyle w:val="Normal"/>
        <w:numPr>
          <w:ilvl w:val="0"/>
          <w:numId w:val="76"/>
        </w:numPr>
        <w:rPr/>
      </w:pPr>
      <w:r>
        <w:rPr/>
        <w:t>This attribute indicates the status of the data within a processing operation. Personal data may be considered non-personal if it does not allow the data subject to be identified.</w:t>
        <w:br/>
      </w:r>
      <w:r>
        <w:rPr>
          <w:i/>
          <w:iCs/>
        </w:rPr>
        <w:t>Example:</w:t>
      </w:r>
      <w:r>
        <w:rPr/>
        <w:t xml:space="preserve"> Processing that only uses age is not personal. This is particularly useful for providers, as they can carry out certain operations without waiting for data subject consent if the processing does not directly identify individuals, offering greater flexibility.</w:t>
      </w:r>
    </w:p>
    <w:p>
      <w:pPr>
        <w:pStyle w:val="Heading3"/>
        <w:rPr/>
      </w:pPr>
      <w:bookmarkStart w:id="47" w:name="has-personal-status"/>
      <w:bookmarkStart w:id="48" w:name="crud-operations"/>
      <w:bookmarkEnd w:id="47"/>
      <w:bookmarkEnd w:id="48"/>
      <w:r>
        <w:rPr/>
        <w:t>2. CRUD Operations</w:t>
      </w:r>
    </w:p>
    <w:p>
      <w:pPr>
        <w:pStyle w:val="Normal"/>
        <w:numPr>
          <w:ilvl w:val="0"/>
          <w:numId w:val="77"/>
        </w:numPr>
        <w:rPr/>
      </w:pPr>
      <w:r>
        <w:rPr/>
        <w:t>The operations (Create, Read, Update, Delete) that the processing can perform on the data.</w:t>
      </w:r>
    </w:p>
    <w:p>
      <w:pPr>
        <w:pStyle w:val="Heading3"/>
        <w:rPr/>
      </w:pPr>
      <w:bookmarkStart w:id="49" w:name="crud-operations"/>
      <w:bookmarkStart w:id="50" w:name="personal-data-transfer"/>
      <w:bookmarkEnd w:id="49"/>
      <w:bookmarkEnd w:id="50"/>
      <w:r>
        <w:rPr/>
        <w:t>3. Personal Data Transfer</w:t>
      </w:r>
    </w:p>
    <w:p>
      <w:pPr>
        <w:pStyle w:val="Normal"/>
        <w:numPr>
          <w:ilvl w:val="0"/>
          <w:numId w:val="78"/>
        </w:numPr>
        <w:rPr/>
      </w:pPr>
      <w:r>
        <w:rPr/>
        <w:t>This refers to the relationship between the personal data, the processing being carried out, and the secondary parties to whom the data may be transferred.</w:t>
      </w:r>
    </w:p>
    <w:p>
      <w:pPr>
        <w:pStyle w:val="Normal"/>
        <w:numPr>
          <w:ilvl w:val="1"/>
          <w:numId w:val="79"/>
        </w:numPr>
        <w:rPr/>
      </w:pPr>
      <w:r>
        <w:rPr/>
        <w:t>If processing involves transferring data to a person or organization outside the EU, these transfers must be declared.</w:t>
      </w:r>
    </w:p>
    <w:p>
      <w:pPr>
        <w:pStyle w:val="Normal"/>
        <w:numPr>
          <w:ilvl w:val="1"/>
          <w:numId w:val="80"/>
        </w:numPr>
        <w:rPr/>
      </w:pPr>
      <w:r>
        <w:rPr/>
        <w:t>If the recipient country does not provide a level of protection equivalent to the GDPR, guarantees (such as legal documents) must be provided.</w:t>
      </w:r>
    </w:p>
    <w:p>
      <w:pPr>
        <w:pStyle w:val="Normal"/>
        <w:numPr>
          <w:ilvl w:val="1"/>
          <w:numId w:val="81"/>
        </w:numPr>
        <w:rPr/>
      </w:pPr>
      <w:r>
        <w:rPr/>
        <w:t>The type of guarantee offered by the secondary actor (data recipient) must be specified.</w:t>
      </w:r>
    </w:p>
    <w:p>
      <w:pPr>
        <w:pStyle w:val="Heading3"/>
        <w:rPr/>
      </w:pPr>
      <w:bookmarkStart w:id="51" w:name="personal-data-transfer"/>
      <w:bookmarkStart w:id="52" w:name="processing-linkage-links"/>
      <w:bookmarkEnd w:id="51"/>
      <w:r>
        <w:rPr/>
        <w:t>Processing Linkage (Links)</w:t>
      </w:r>
    </w:p>
    <w:p>
      <w:pPr>
        <w:pStyle w:val="FirstParagraph"/>
        <w:rPr/>
      </w:pPr>
      <w:r>
        <w:rPr/>
        <w:t>Two processing operations can be linked by either:</w:t>
      </w:r>
    </w:p>
    <w:p>
      <w:pPr>
        <w:pStyle w:val="Normal"/>
        <w:numPr>
          <w:ilvl w:val="0"/>
          <w:numId w:val="82"/>
        </w:numPr>
        <w:rPr/>
      </w:pPr>
      <w:r>
        <w:rPr>
          <w:b/>
          <w:bCs/>
        </w:rPr>
        <w:t>Similarity:</w:t>
      </w:r>
      <w:r>
        <w:rPr/>
        <w:t xml:space="preserve"> When both processing operations share the same purpose.</w:t>
      </w:r>
    </w:p>
    <w:p>
      <w:pPr>
        <w:pStyle w:val="Normal"/>
        <w:numPr>
          <w:ilvl w:val="0"/>
          <w:numId w:val="83"/>
        </w:numPr>
        <w:rPr/>
      </w:pPr>
      <w:r>
        <w:rPr>
          <w:b/>
          <w:bCs/>
        </w:rPr>
        <w:t>Inclusion:</w:t>
      </w:r>
      <w:r>
        <w:rPr/>
        <w:t xml:space="preserve"> When one specific processing operation is necessary for the functioning of another main processing operation.</w:t>
      </w:r>
      <w:bookmarkEnd w:id="8"/>
      <w:bookmarkEnd w:id="52"/>
    </w:p>
    <w:p>
      <w:pPr>
        <w:pStyle w:val="Normal"/>
        <w:ind w:left="720"/>
        <w:rPr>
          <w:b/>
          <w:bCs/>
        </w:rPr>
      </w:pPr>
      <w:r>
        <w:rPr>
          <w:b/>
          <w:bCs/>
        </w:rPr>
      </w:r>
    </w:p>
    <w:p>
      <w:pPr>
        <w:pStyle w:val="Normal"/>
        <w:jc w:val="left"/>
        <w:rPr/>
      </w:pPr>
      <w:r>
        <w:rPr/>
        <w:t>You can preview the generated script by right-clicking on the interface of each model created (PRIAMGDPR, actorAnnotation, dataAnnotation and processingAnnotation).</w:t>
      </w:r>
    </w:p>
    <w:p>
      <w:pPr>
        <w:pStyle w:val="Normal"/>
        <w:jc w:val="left"/>
        <w:rPr/>
      </w:pPr>
      <w:r>
        <w:rPr/>
      </w:r>
    </w:p>
    <w:p>
      <w:pPr>
        <w:pStyle w:val="Normal"/>
        <w:jc w:val="left"/>
        <w:rPr/>
      </w:pPr>
      <w:r>
        <w:rPr/>
        <w:t>All scripts are generated as .sql files, which you can find in the “</w:t>
      </w:r>
      <w:r>
        <w:rPr/>
        <w:t>source_gen</w:t>
      </w:r>
      <w:r>
        <w:rPr/>
        <w:t xml:space="preserve">” folder </w:t>
      </w:r>
      <w:r>
        <w:rPr/>
        <w:t xml:space="preserve">in your project </w:t>
      </w:r>
      <w:r>
        <w:rPr/>
        <w:t xml:space="preserve"> </w:t>
      </w:r>
      <w:r>
        <w:rPr/>
        <w:t xml:space="preserve">folder (eg: </w:t>
      </w:r>
      <w:r>
        <w:rPr>
          <w:i/>
          <w:iCs/>
          <w:sz w:val="20"/>
          <w:szCs w:val="20"/>
        </w:rPr>
        <w:t>/home/user/MPSProjects/solution/NewSolution/source_gen/NewSolution/a_model</w:t>
      </w:r>
      <w:r>
        <w:rPr/>
        <w:t>)</w:t>
      </w:r>
    </w:p>
    <w:p>
      <w:pPr>
        <w:pStyle w:val="Normal"/>
        <w:spacing w:before="0" w:after="200"/>
        <w:jc w:val="left"/>
        <w:rPr/>
      </w:pPr>
      <w:r>
        <w:rPr>
          <w:b/>
          <w:bCs/>
        </w:rPr>
        <w:t>note</w:t>
      </w:r>
      <w:r>
        <w:rPr/>
        <w:t>: build your project to generate the files</w:t>
      </w:r>
    </w:p>
    <w:sectPr>
      <w:type w:val="nextPage"/>
      <w:pgSz w:w="12240" w:h="15840"/>
      <w:pgMar w:left="1417" w:right="1417"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Courier New">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1"/>
    <w:lvlOverride w:ilvl="0">
      <w:startOverride w:val="1"/>
    </w:lvlOverride>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1"/>
    <w:lvlOverride w:ilvl="0">
      <w:startOverride w:val="1"/>
    </w:lvlOverride>
  </w:num>
  <w:num w:numId="39">
    <w:abstractNumId w:val="1"/>
  </w:num>
  <w:num w:numId="40">
    <w:abstractNumId w:val="1"/>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1"/>
    <w:lvlOverride w:ilvl="0">
      <w:startOverride w:val="1"/>
    </w:lvlOverride>
  </w:num>
  <w:num w:numId="54">
    <w:abstractNumId w:val="1"/>
  </w:num>
  <w:num w:numId="55">
    <w:abstractNumId w:val="2"/>
  </w:num>
  <w:num w:numId="56">
    <w:abstractNumId w:val="1"/>
    <w:lvlOverride w:ilvl="0">
      <w:startOverride w:val="1"/>
    </w:lvlOverride>
  </w:num>
  <w:num w:numId="57">
    <w:abstractNumId w:val="1"/>
  </w:num>
  <w:num w:numId="58">
    <w:abstractNumId w:val="2"/>
  </w:num>
  <w:num w:numId="59">
    <w:abstractNumId w:val="1"/>
    <w:lvlOverride w:ilvl="0">
      <w:startOverride w:val="1"/>
    </w:lvlOverride>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bering>
</file>

<file path=word/settings.xml><?xml version="1.0" encoding="utf-8"?>
<w:settings xmlns:w="http://schemas.openxmlformats.org/wordprocessingml/2006/main">
  <w:zoom w:percent="18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67">
    <w:lsdException w:name="Strong" w:uiPriority="22" w:qFormat="1"/>
    <w:lsdException w:name="HTML Code" w:uiPriority="99"/>
  </w:latentStyles>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Titre1C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Titre2C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Titre3C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Titre4C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Titre5C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Titre6C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Titre7C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Titre8C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Titre9C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Car" w:customStyle="1">
    <w:name w:val="Titre C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Titre1Car" w:customStyle="1">
    <w:name w:val="Titre 1 C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Titre4Car" w:customStyle="1">
    <w:name w:val="Titre 4 Car"/>
    <w:basedOn w:val="DefaultParagraphFont"/>
    <w:uiPriority w:val="9"/>
    <w:semiHidden/>
    <w:qFormat/>
    <w:rsid w:val="00a10fd9"/>
    <w:rPr>
      <w:rFonts w:eastAsia="" w:cs="" w:cstheme="majorBidi" w:eastAsiaTheme="majorEastAsia"/>
      <w:i/>
      <w:iCs/>
      <w:color w:themeColor="accent1" w:themeShade="bf" w:val="0F4761"/>
    </w:rPr>
  </w:style>
  <w:style w:type="character" w:styleId="Titre5Car" w:customStyle="1">
    <w:name w:val="Titre 5 Car"/>
    <w:basedOn w:val="DefaultParagraphFont"/>
    <w:uiPriority w:val="9"/>
    <w:semiHidden/>
    <w:qFormat/>
    <w:rsid w:val="00a10fd9"/>
    <w:rPr>
      <w:rFonts w:eastAsia="" w:cs="" w:cstheme="majorBidi" w:eastAsiaTheme="majorEastAsia"/>
      <w:color w:themeColor="accent1" w:themeShade="bf" w:val="0F4761"/>
    </w:rPr>
  </w:style>
  <w:style w:type="character" w:styleId="Titre6Car" w:customStyle="1">
    <w:name w:val="Titre 6 Car"/>
    <w:basedOn w:val="DefaultParagraphFont"/>
    <w:uiPriority w:val="9"/>
    <w:semiHidden/>
    <w:qFormat/>
    <w:rsid w:val="00a10fd9"/>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a10fd9"/>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a10fd9"/>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a10fd9"/>
    <w:rPr>
      <w:rFonts w:eastAsia="" w:cs="" w:cstheme="majorBidi" w:eastAsiaTheme="majorEastAsia"/>
      <w:color w:themeColor="text1" w:themeTint="d8" w:val="272727"/>
    </w:rPr>
  </w:style>
  <w:style w:type="character" w:styleId="LgendeCar" w:customStyle="1">
    <w:name w:val="Légende Car"/>
    <w:basedOn w:val="DefaultParagraphFont"/>
    <w:qFormat/>
    <w:rPr/>
  </w:style>
  <w:style w:type="character" w:styleId="VerbatimChar" w:customStyle="1">
    <w:name w:val="Verbatim Char"/>
    <w:basedOn w:val="LgendeCar"/>
    <w:link w:val="SourceCode"/>
    <w:qFormat/>
    <w:rPr>
      <w:rFonts w:ascii="Consolas" w:hAnsi="Consolas"/>
      <w:sz w:val="22"/>
    </w:rPr>
  </w:style>
  <w:style w:type="character" w:styleId="SectionNumber" w:customStyle="1">
    <w:name w:val="Section Number"/>
    <w:basedOn w:val="LgendeCar"/>
    <w:qFormat/>
    <w:rPr/>
  </w:style>
  <w:style w:type="character" w:styleId="FootnoteReference">
    <w:name w:val="Footnote Reference"/>
    <w:rPr>
      <w:vertAlign w:val="superscript"/>
    </w:rPr>
  </w:style>
  <w:style w:type="character" w:styleId="FootnoteCharacters">
    <w:name w:val="Footnote Characters"/>
    <w:basedOn w:val="LgendeCar"/>
    <w:qFormat/>
    <w:rPr>
      <w:vertAlign w:val="superscript"/>
    </w:rPr>
  </w:style>
  <w:style w:type="character" w:styleId="InternetLink">
    <w:name w:val="Internet Link"/>
    <w:basedOn w:val="LgendeCar"/>
    <w:qFormat/>
    <w:rPr>
      <w:color w:themeColor="accent1" w:val="156082"/>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HTMLCode">
    <w:name w:val="HTML Code"/>
    <w:basedOn w:val="DefaultParagraphFont"/>
    <w:uiPriority w:val="99"/>
    <w:unhideWhenUsed/>
    <w:qFormat/>
    <w:rsid w:val="00462dc7"/>
    <w:rPr>
      <w:rFonts w:ascii="Courier New" w:hAnsi="Courier New" w:eastAsia="Times New Roman" w:cs="Courier New"/>
      <w:sz w:val="20"/>
      <w:szCs w:val="20"/>
    </w:rPr>
  </w:style>
  <w:style w:type="character" w:styleId="Strong">
    <w:name w:val="Strong"/>
    <w:basedOn w:val="DefaultParagraphFont"/>
    <w:uiPriority w:val="22"/>
    <w:qFormat/>
    <w:rsid w:val="001c2b91"/>
    <w:rPr>
      <w:b/>
      <w:bCs/>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pPr>
      <w:spacing w:before="180" w:after="180"/>
    </w:pPr>
    <w:rPr/>
  </w:style>
  <w:style w:type="paragraph" w:styleId="List">
    <w:name w:val="List"/>
    <w:basedOn w:val="BodyText"/>
    <w:pPr/>
    <w:rPr>
      <w:rFonts w:cs="Noto Sans Devanagari"/>
    </w:rPr>
  </w:style>
  <w:style w:type="paragraph" w:styleId="Caption">
    <w:name w:val="Caption"/>
    <w:basedOn w:val="Normal"/>
    <w:link w:val="LgendeC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reCar"/>
    <w:uiPriority w:val="10"/>
    <w:qFormat/>
    <w:rsid w:val="00a10fd9"/>
    <w:pPr>
      <w:spacing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ous-titreCar"/>
    <w:uiPriority w:val="11"/>
    <w:qFormat/>
    <w:rsid w:val="00a10fd9"/>
    <w:pPr/>
    <w:rPr>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FootnoteBlockText" w:customStyle="1">
    <w:name w:val="Footnote Block Text"/>
    <w:basedOn w:val="FootnoteText"/>
    <w:next w:val="FootnoteText"/>
    <w:uiPriority w:val="9"/>
    <w:unhideWhenUsed/>
    <w:qFormat/>
    <w:pPr>
      <w:spacing w:before="100" w:after="100"/>
      <w:ind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80"/>
      <w:outlineLvl w:val="9"/>
    </w:pPr>
    <w:rPr/>
  </w:style>
  <w:style w:type="paragraph" w:styleId="SourceCode" w:customStyle="1">
    <w:name w:val="Source Code"/>
    <w:basedOn w:val="Normal"/>
    <w:link w:val="VerbatimChar"/>
    <w:qFormat/>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160</TotalTime>
  <Application>LibreOffice/24.2.6.2$Linux_X86_64 LibreOffice_project/420$Build-2</Application>
  <AppVersion>15.0000</AppVersion>
  <Pages>10</Pages>
  <Words>2046</Words>
  <Characters>10901</Characters>
  <CharactersWithSpaces>12748</CharactersWithSpaces>
  <Paragraphs>142</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2024-11-03T20:46:00Z</dcterms:created>
  <dc:creator/>
  <dc:description/>
  <dc:language>fr-FR</dc:language>
  <cp:lastModifiedBy/>
  <dcterms:modified xsi:type="dcterms:W3CDTF">2024-11-18T15:06:16Z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