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自闭症谱系障碍儿童静息态非周期EEG与自然电影神经同步：主口径（relaxed）与敏感性（strict）整合稿</w:t>
      </w:r>
    </w:p>
    <w:p>
      <w:pPr>
        <w:pStyle w:val="Heading2"/>
      </w:pPr>
      <w:r>
        <w:t>摘要</w:t>
      </w:r>
    </w:p>
    <w:p>
      <w:r>
        <w:t>**背景：** 静息态EEG非周期参数（aperiodic exponent）可表征宽频神经动力学，但其与自然社会认知加工之间的跨状态关系在ASD儿童中仍缺乏稳定证据。</w:t>
      </w:r>
    </w:p>
    <w:p>
      <w:r>
        <w:t>**目的：** 基于现有锁定结果文件，构建可投稿初稿，明确主口径（relaxed）结果，并将strict口径作为敏感性分析，检验主要结论的稳定性。</w:t>
      </w:r>
    </w:p>
    <w:p>
      <w:r>
        <w:t>**方法：** 静息态主分析样本按流程筛选为138例（ASD=61，TD=77）；电影事件ISC与耦合分析采用relaxed口径（关键模型n=128，事件比较样本ASD=73，TD=95/96），并与strict口径（关键模型n=102）对照。统计报告包含原始p值、BH-FDR（同家族校正）、效应方向及样本量；另纳入QC协变量控制模型（`mean_fit_error`、`invalid_channel_ratio`）。</w:t>
      </w:r>
    </w:p>
    <w:p>
      <w:r>
        <w:t>**结果：** 静息态主模型中，TD相对ASD的`global_exponent`更高（β=0.0791，p=0.0119，n=138），`global_offset`仅趋势性（β=0.0596，p=0.0951）。后部通道E33/E36/E37/E38经FDR后仍显著（q=0.0076-0.0360）。电影ISC中，mental、pain、neutral三事件均为TD&gt;ASD且FDR后显著；Delta_Exponent在mental与pain均显著。耦合分析显示：relaxed口径下`posterior_exponent × group`在OLS与RLM均显著，而strict口径下OLS不显著、RLM仍显著。posterior-CARS相关在relaxed显著而strict不显著，提示临床相关对口径敏感。</w:t>
      </w:r>
    </w:p>
    <w:p>
      <w:r>
        <w:t>**结论：** 可稳健支持的主结论为：ASD在静息态非周期指数与自然电影ISC上均表现出组间差异，且跨状态耦合在稳健模型中存在；但posterior-CARS与部分OLS交互属于口径敏感证据，应降级为探索性发现。</w:t>
      </w:r>
    </w:p>
    <w:p>
      <w:r>
        <w:t>**关键词：** ASD；EEG；非周期指数；自然电影；ISC；稳健回归；敏感性分析</w:t>
      </w:r>
    </w:p>
    <w:p>
      <w:pPr>
        <w:pStyle w:val="Heading2"/>
      </w:pPr>
      <w:r>
        <w:t>1. 引言</w:t>
      </w:r>
    </w:p>
    <w:p>
      <w:r>
        <w:t>ASD神经生理研究长期依赖传统频段功率指标，但该类指标易受非周期背景影响，可能掩盖真正的组间差异维度。已有本项目结果提示，静息态`global_exponent`与后部局部指数可能较周期峰参数更敏感。另一方面，自然电影范式可在较高生态效度下评估社会信息加工的群体神经同步（ISC），为“静息态基础状态 -&gt; 任务态加工输出”提供同一被试层面的连接框架。</w:t>
      </w:r>
    </w:p>
    <w:p>
      <w:r>
        <w:t>本稿聚焦两个问题：</w:t>
      </w:r>
    </w:p>
    <w:p>
      <w:pPr>
        <w:pStyle w:val="ListBullet"/>
      </w:pPr>
      <w:r>
        <w:t>relaxed主口径下，ASD与TD在静息态非周期参数、电影ISC及跨状态耦合上是否形成一致证据链；</w:t>
      </w:r>
    </w:p>
    <w:p>
      <w:pPr>
        <w:pStyle w:val="ListBullet"/>
      </w:pPr>
      <w:r>
        <w:t>strict口径与QC协变量控制后，哪些结论依旧稳健，哪些应降级为敏感性结论。</w:t>
      </w:r>
    </w:p>
    <w:p>
      <w:pPr>
        <w:pStyle w:val="Heading2"/>
      </w:pPr>
      <w:r>
        <w:t>2. 方法</w:t>
      </w:r>
    </w:p>
    <w:p>
      <w:pPr>
        <w:pStyle w:val="Heading3"/>
      </w:pPr>
      <w:r>
        <w:t>2.1 研究设计与口径定义</w:t>
      </w:r>
    </w:p>
    <w:p>
      <w:pPr>
        <w:pStyle w:val="ListBullet"/>
      </w:pPr>
      <w:r>
        <w:t>**主口径（relaxed）**：当前锁定主表与快照采用的统计口径，作为主文推断依据。</w:t>
      </w:r>
    </w:p>
    <w:p>
      <w:pPr>
        <w:pStyle w:val="ListBullet"/>
      </w:pPr>
      <w:r>
        <w:t>**敏感性口径（strict）**：更严格筛选口径，仅用于稳健性检验，不与主口径混写。</w:t>
      </w:r>
    </w:p>
    <w:p>
      <w:r>
        <w:t>主口径来源：`outputs/tables/final_paper_stats_locked.csv`、`outputs/tables/_relaxed_significance_snapshot.csv`。</w:t>
      </w:r>
    </w:p>
    <w:p>
      <w:r>
        <w:t>敏感性来源：`outputs/tables/_strict_significance_snapshot.csv`。</w:t>
      </w:r>
    </w:p>
    <w:p>
      <w:pPr>
        <w:pStyle w:val="Heading3"/>
      </w:pPr>
      <w:r>
        <w:t>2.2 样本流程与结局</w:t>
      </w:r>
    </w:p>
    <w:p>
      <w:pPr>
        <w:pStyle w:val="ListBullet"/>
      </w:pPr>
      <w:r>
        <w:t>静息态流程：168 -&gt; 145（`usable_epochs &gt;= 60`）-&gt; 138（specparam被试QC通过）。</w:t>
      </w:r>
    </w:p>
    <w:p>
      <w:pPr>
        <w:pStyle w:val="ListBullet"/>
      </w:pPr>
      <w:r>
        <w:t>静息态主结局：`global_exponent`、`global_offset`。</w:t>
      </w:r>
    </w:p>
    <w:p>
      <w:pPr>
        <w:pStyle w:val="ListBullet"/>
      </w:pPr>
      <w:r>
        <w:t>空间结局：通道FDR显著通道。</w:t>
      </w:r>
    </w:p>
    <w:p>
      <w:pPr>
        <w:pStyle w:val="ListBullet"/>
      </w:pPr>
      <w:r>
        <w:t>电影结局：事件ISC（mental/pain/neutral）与Delta_Exponent（mental/pain）。</w:t>
      </w:r>
    </w:p>
    <w:p>
      <w:pPr>
        <w:pStyle w:val="ListBullet"/>
      </w:pPr>
      <w:r>
        <w:t>跨状态耦合：`mental_isc_z ~ posterior_exponent * C(group) + covariates`（OLS与RLM winsor）。</w:t>
      </w:r>
    </w:p>
    <w:p>
      <w:pPr>
        <w:pStyle w:val="Heading3"/>
      </w:pPr>
      <w:r>
        <w:t>2.3 统计与多重比较</w:t>
      </w:r>
    </w:p>
    <w:p>
      <w:pPr>
        <w:pStyle w:val="ListBullet"/>
      </w:pPr>
      <w:r>
        <w:t>ISC与Delta分别在各自家族内做BH-FDR。</w:t>
      </w:r>
    </w:p>
    <w:p>
      <w:pPr>
        <w:pStyle w:val="ListBullet"/>
      </w:pPr>
      <w:r>
        <w:t>耦合模型报告OLS与RLM并行结果。</w:t>
      </w:r>
    </w:p>
    <w:p>
      <w:pPr>
        <w:pStyle w:val="ListBullet"/>
      </w:pPr>
      <w:r>
        <w:t>QC协变量控制模型作为补充路径，不替代主模型。</w:t>
      </w:r>
    </w:p>
    <w:p>
      <w:pPr>
        <w:pStyle w:val="Heading2"/>
      </w:pPr>
      <w:r>
        <w:t>3. 结果</w:t>
      </w:r>
    </w:p>
    <w:p>
      <w:pPr>
        <w:pStyle w:val="Heading3"/>
      </w:pPr>
      <w:r>
        <w:t>3.1 样本流程与静息态主模型</w:t>
      </w:r>
    </w:p>
    <w:p>
      <w:r>
        <w:t>主分析样本为138例（ASD=61，TD=77）。[来源：`outputs/tables/sample_inclusion_flow.csv`]</w:t>
      </w:r>
    </w:p>
    <w:p>
      <w:r>
        <w:t>主模型显示`global_exponent`为TD&gt;ASD（β=0.0790819009578286，SE=0.03101320780757809，p=0.01191661743751248，95%CI[0.01773471050987685, 0.14042909140578036]，n=138）。[来源：`derivatives/stats/main_group_analysis.csv`]</w:t>
      </w:r>
    </w:p>
    <w:p>
      <w:r>
        <w:t>`global_offset`仅趋势性（β=0.05955940846317012，p=0.09506288310582732，n=138）。[来源：`derivatives/stats/main_group_analysis.csv`]</w:t>
      </w:r>
    </w:p>
    <w:p>
      <w:pPr>
        <w:pStyle w:val="Heading3"/>
      </w:pPr>
      <w:r>
        <w:t>3.2 通道水平FDR结果</w:t>
      </w:r>
    </w:p>
    <w:p>
      <w:r>
        <w:t>通道E33、E36、E37、E38均表现为TD&gt;ASD且经FDR后显著：</w:t>
      </w:r>
    </w:p>
    <w:p>
      <w:pPr>
        <w:pStyle w:val="ListBullet"/>
      </w:pPr>
      <w:r>
        <w:t>E33: β=0.10697，p=0.0007939，q=0.02540；</w:t>
      </w:r>
    </w:p>
    <w:p>
      <w:pPr>
        <w:pStyle w:val="ListBullet"/>
      </w:pPr>
      <w:r>
        <w:t>E36: β=0.11691，p=0.0016538，q=0.03528；</w:t>
      </w:r>
    </w:p>
    <w:p>
      <w:pPr>
        <w:pStyle w:val="ListBullet"/>
      </w:pPr>
      <w:r>
        <w:t>E37: β=0.17054，p=0.0022508，q=0.03601；</w:t>
      </w:r>
    </w:p>
    <w:p>
      <w:pPr>
        <w:pStyle w:val="ListBullet"/>
      </w:pPr>
      <w:r>
        <w:t>E38: β=0.13435，p=0.0001181，q=0.00756。</w:t>
      </w:r>
    </w:p>
    <w:p>
      <w:r>
        <w:t>[来源：`outputs/tables/significant_channels_fdr.csv`]</w:t>
      </w:r>
    </w:p>
    <w:p>
      <w:pPr>
        <w:pStyle w:val="Heading3"/>
      </w:pPr>
      <w:r>
        <w:t>3.3 电影事件ISC（主口径relaxed）</w:t>
      </w:r>
    </w:p>
    <w:p>
      <w:r>
        <w:t>在relaxed主口径中，三类事件均为TD&gt;ASD并经FDR后显著：</w:t>
      </w:r>
    </w:p>
    <w:p>
      <w:pPr>
        <w:pStyle w:val="ListBullet"/>
      </w:pPr>
      <w:r>
        <w:t>mental: ASD=73, TD=95, t=-2.302147242807646, raw p=0.0228236392086339, FDR p=0.0228236392086339；</w:t>
      </w:r>
    </w:p>
    <w:p>
      <w:pPr>
        <w:pStyle w:val="ListBullet"/>
      </w:pPr>
      <w:r>
        <w:t>pain: ASD=73, TD=95, t=-3.925915102794856, raw p=0.0001356440971062, FDR p=0.00020346614565930002；</w:t>
      </w:r>
    </w:p>
    <w:p>
      <w:pPr>
        <w:pStyle w:val="ListBullet"/>
      </w:pPr>
      <w:r>
        <w:t>neutral: ASD=73, TD=96, t=-4.357184001275027, raw p=2.460057653261554e-05, FDR p=7.380172959784662e-05。</w:t>
      </w:r>
    </w:p>
    <w:p>
      <w:r>
        <w:t>[来源：`outputs/tables/final_paper_stats_locked.csv`；`derivatives_task_movie/stats/movie_isc_group_stats_with_neutral.csv`]</w:t>
      </w:r>
    </w:p>
    <w:p>
      <w:pPr>
        <w:pStyle w:val="Heading3"/>
      </w:pPr>
      <w:r>
        <w:t>3.4 Delta_Exponent（主口径relaxed）</w:t>
      </w:r>
    </w:p>
    <w:p>
      <w:r>
        <w:t>Delta_Exponent在mental与pain均显著：</w:t>
      </w:r>
    </w:p>
    <w:p>
      <w:pPr>
        <w:pStyle w:val="ListBullet"/>
      </w:pPr>
      <w:r>
        <w:t>Delta_mental: ASD=56, TD=73, t=3.5009889307920794, raw p=0.0007112589837053, FDR p=0.0007112589837053；</w:t>
      </w:r>
    </w:p>
    <w:p>
      <w:pPr>
        <w:pStyle w:val="ListBullet"/>
      </w:pPr>
      <w:r>
        <w:t>Delta_pain: ASD=56, TD=73, t=3.6950391222583874, raw p=0.0003720742183072, FDR p=0.0007112589837053。</w:t>
      </w:r>
    </w:p>
    <w:p>
      <w:r>
        <w:t>[来源：`outputs/tables/final_paper_stats_locked.csv`；`derivatives_task_movie/stats/delta_exponent_group_ttests.csv`]</w:t>
      </w:r>
    </w:p>
    <w:p>
      <w:pPr>
        <w:pStyle w:val="Heading3"/>
      </w:pPr>
      <w:r>
        <w:t>3.5 跨状态耦合：主口径与敏感性对照</w:t>
      </w:r>
    </w:p>
    <w:p>
      <w:r>
        <w:t>**relaxed主口径（n=128）**：</w:t>
      </w:r>
    </w:p>
    <w:p>
      <w:pPr>
        <w:pStyle w:val="ListBullet"/>
      </w:pPr>
      <w:r>
        <w:t>OLS交互项`posterior_exponent:C(group)[T.TD]`显著（β=-0.3518876776521916，p=0.010235334556233081）；</w:t>
      </w:r>
    </w:p>
    <w:p>
      <w:pPr>
        <w:pStyle w:val="ListBullet"/>
      </w:pPr>
      <w:r>
        <w:t>RLM winsor交互项`posterior_exponent_w:C(group)[T.TD]`显著（β=-0.5317928308721207，p=0.0025858175860909985）。</w:t>
      </w:r>
    </w:p>
    <w:p>
      <w:r>
        <w:t>[来源：`derivatives_task_movie/stats/resting_movie_coupling_interaction_model.csv`；`derivatives_task_movie/stats/resting_movie_coupling_interaction_model_rlm_winsor.csv`；`outputs/tables/_relaxed_significance_snapshot.csv`]</w:t>
      </w:r>
    </w:p>
    <w:p>
      <w:r>
        <w:t>**strict敏感性（n=102）**：</w:t>
      </w:r>
    </w:p>
    <w:p>
      <w:pPr>
        <w:pStyle w:val="ListBullet"/>
      </w:pPr>
      <w:r>
        <w:t>OLS交互不显著（p=0.0792268618156943）；</w:t>
      </w:r>
    </w:p>
    <w:p>
      <w:pPr>
        <w:pStyle w:val="ListBullet"/>
      </w:pPr>
      <w:r>
        <w:t>RLM交互显著（p=0.019514529634508）。</w:t>
      </w:r>
    </w:p>
    <w:p>
      <w:r>
        <w:t>[来源：`outputs/tables/_strict_significance_snapshot.csv`]</w:t>
      </w:r>
    </w:p>
    <w:p>
      <w:pPr>
        <w:pStyle w:val="Heading3"/>
      </w:pPr>
      <w:r>
        <w:t>3.6 posterior-CARS：口径敏感结果（降级解释）</w:t>
      </w:r>
    </w:p>
    <w:p>
      <w:r>
        <w:t>**relaxed**：Spearman显著（n=62，rho=-0.2611172851025417，p=0.040373284890588584）。</w:t>
      </w:r>
    </w:p>
    <w:p>
      <w:r>
        <w:t>[来源：`outputs/tables/qc_covariate_control_models.csv`；`outputs/tables/_relaxed_significance_snapshot.csv`]</w:t>
      </w:r>
    </w:p>
    <w:p>
      <w:r>
        <w:t>**strict**：不显著（n=60，p=0.06825345118589014）。</w:t>
      </w:r>
    </w:p>
    <w:p>
      <w:r>
        <w:t>[来源：`outputs/tables/_strict_significance_snapshot.csv`]</w:t>
      </w:r>
    </w:p>
    <w:p>
      <w:r>
        <w:t>另外，QC协变量控制的OLS（`posterior_exponent`项）不显著（p=0.44796230778276347），支持将posterior-CARS定位为不稳健、探索性证据。</w:t>
      </w:r>
    </w:p>
    <w:p>
      <w:r>
        <w:t>[来源：`outputs/tables/qc_covariate_control_models.csv`]</w:t>
      </w:r>
    </w:p>
    <w:p>
      <w:pPr>
        <w:pStyle w:val="Heading3"/>
      </w:pPr>
      <w:r>
        <w:t>3.7 QC协变量控制后的ISC</w:t>
      </w:r>
    </w:p>
    <w:p>
      <w:r>
        <w:t>在扩大样本（mental/pain n=168，neutral n=169）并加入QC协变量后，ISC三事件仍显著且FDR后保留：</w:t>
      </w:r>
    </w:p>
    <w:p>
      <w:pPr>
        <w:pStyle w:val="ListBullet"/>
      </w:pPr>
      <w:r>
        <w:t>mental: raw p=0.02071464370698974, FDR p=0.02071464370698974；</w:t>
      </w:r>
    </w:p>
    <w:p>
      <w:pPr>
        <w:pStyle w:val="ListBullet"/>
      </w:pPr>
      <w:r>
        <w:t>pain: raw p=0.003007304496514818, FDR p=0.004510956744772227；</w:t>
      </w:r>
    </w:p>
    <w:p>
      <w:pPr>
        <w:pStyle w:val="ListBullet"/>
      </w:pPr>
      <w:r>
        <w:t>neutral: raw p=7.282946064874599e-05, FDR p=0.00021848838194623796。</w:t>
      </w:r>
    </w:p>
    <w:p>
      <w:r>
        <w:t>[来源：`outputs/tables/qc_covariate_control_models.csv`；`outputs/tables/qc_covariate_control_event_fdr.csv`]</w:t>
      </w:r>
    </w:p>
    <w:p>
      <w:pPr>
        <w:pStyle w:val="Heading2"/>
      </w:pPr>
      <w:r>
        <w:t>4. 结果解释与冲突处理</w:t>
      </w:r>
    </w:p>
    <w:p>
      <w:r>
        <w:t>本次核对发现历史稿件（v11-v15）与当前锁定结果存在若干不一致，需显式披露：</w:t>
      </w:r>
    </w:p>
    <w:p>
      <w:pPr>
        <w:pStyle w:val="ListBullet"/>
      </w:pPr>
      <w:r>
        <w:t>**冲突1：ISC pain方向/显著性叙述不一致。** 旧稿中有“pain不显著”表述，但当前锁定主表与原始统计文件均显示pain显著（FDR p=0.00020346614565930002）。本稿按锁定CSV更新为“pain显著”。</w:t>
      </w:r>
    </w:p>
    <w:p>
      <w:r>
        <w:t>[采用依据：`outputs/tables/final_paper_stats_locked.csv`；`derivatives_task_movie/stats/movie_isc_group_stats_with_neutral.csv`]</w:t>
      </w:r>
    </w:p>
    <w:p>
      <w:pPr>
        <w:pStyle w:val="ListBullet"/>
      </w:pPr>
      <w:r>
        <w:t>**冲突2：耦合交互p值与旧稿数字不一致。** 旧稿曾出现OLS交互边缘显著、RLM较弱显著的版本；当前relaxed文件显示OLS与RLM均显著。本稿以最新文件为准，并将strict口径差异单列。</w:t>
      </w:r>
    </w:p>
    <w:p>
      <w:r>
        <w:t>[采用依据：`derivatives_task_movie/stats/resting_movie_coupling_interaction_model.csv`；`derivatives_task_movie/stats/resting_movie_coupling_interaction_model_rlm_winsor.csv`；`outputs/tables/_strict_significance_snapshot.csv`]</w:t>
      </w:r>
    </w:p>
    <w:p>
      <w:pPr>
        <w:pStyle w:val="Heading2"/>
      </w:pPr>
      <w:r>
        <w:t>5. 讨论</w:t>
      </w:r>
    </w:p>
    <w:p>
      <w:r>
        <w:t>第一，主口径下“静息态非周期差异 + 电影ISC差异 + 跨状态耦合显著”构成一致证据链，支持ASD与TD在基础神经动力学和自然社会加工之间存在系统性差异。</w:t>
      </w:r>
    </w:p>
    <w:p>
      <w:r>
        <w:t>第二，耦合结果在strict口径下出现“OLS失显著、RLM仍显著”的模式，提示该关联受样本筛选与分布尾部影响，稳健模型比普通线性模型更稳定。</w:t>
      </w:r>
    </w:p>
    <w:p>
      <w:r>
        <w:t>第三，posterior-CARS在relaxed显著而strict不显著，且QC协变量模型不支持稳定关联，因此不应作为主结论，仅能作为假设生成信号。</w:t>
      </w:r>
    </w:p>
    <w:p>
      <w:r>
        <w:t>第四，ISC在QC协变量控制后仍显著，表明关键组差并非由拟合误差或坏通道比例单独驱动。</w:t>
      </w:r>
    </w:p>
    <w:p>
      <w:pPr>
        <w:pStyle w:val="Heading2"/>
      </w:pPr>
      <w:r>
        <w:t>6. 局限性</w:t>
      </w:r>
    </w:p>
    <w:p>
      <w:pPr>
        <w:pStyle w:val="ListBullet"/>
      </w:pPr>
      <w:r>
        <w:t>本稿完全依赖现有结果文件，未重新跑原始管线；结论受既有管线设置约束。</w:t>
      </w:r>
    </w:p>
    <w:p>
      <w:pPr>
        <w:pStyle w:val="ListBullet"/>
      </w:pPr>
      <w:r>
        <w:t>主结果来自多张口径不同的统计表，虽已分层报告，但跨表样本量（如n=128 vs n=168）提示模型目标与缺失机制并不完全一致。</w:t>
      </w:r>
    </w:p>
    <w:p>
      <w:pPr>
        <w:pStyle w:val="ListBullet"/>
      </w:pPr>
      <w:r>
        <w:t>posterior-CARS与耦合OLS在strict下不稳定，需独立样本复现。</w:t>
      </w:r>
    </w:p>
    <w:p>
      <w:pPr>
        <w:pStyle w:val="ListBullet"/>
      </w:pPr>
      <w:r>
        <w:t>横断面设计不支持个体发育因果推断。</w:t>
      </w:r>
    </w:p>
    <w:p>
      <w:pPr>
        <w:pStyle w:val="Heading2"/>
      </w:pPr>
      <w:r>
        <w:t>7. 结论</w:t>
      </w:r>
    </w:p>
    <w:p>
      <w:r>
        <w:t>在主口径（relaxed）下，可稳健支持的投稿级结论为：</w:t>
      </w:r>
    </w:p>
    <w:p>
      <w:pPr>
        <w:pStyle w:val="ListBullet"/>
      </w:pPr>
      <w:r>
        <w:t>静息态`global_exponent`存在TD&gt;ASD差异，且后部通道簇在FDR后显著；</w:t>
      </w:r>
    </w:p>
    <w:p>
      <w:pPr>
        <w:pStyle w:val="ListBullet"/>
      </w:pPr>
      <w:r>
        <w:t>自然电影ISC在mental/pain/neutral均表现TD&gt;ASD；</w:t>
      </w:r>
    </w:p>
    <w:p>
      <w:pPr>
        <w:pStyle w:val="ListBullet"/>
      </w:pPr>
      <w:r>
        <w:t>跨状态耦合交互在OLS与RLM均显著，但在strict口径下OLS不稳健；</w:t>
      </w:r>
    </w:p>
    <w:p>
      <w:pPr>
        <w:pStyle w:val="ListBullet"/>
      </w:pPr>
      <w:r>
        <w:t>posterior-CARS属于口径敏感结果，需降级解释。</w:t>
      </w:r>
    </w:p>
    <w:p>
      <w:r>
        <w:t>以上结论强调：本研究主贡献是“跨状态神经表型”的统计证据，而非确证性的临床相关生物标志物。</w:t>
      </w:r>
    </w:p>
    <w:p>
      <w:pPr>
        <w:pStyle w:val="Heading2"/>
      </w:pPr>
      <w:r>
        <w:t>8. 图表清单与图注</w:t>
      </w:r>
    </w:p>
    <w:p>
      <w:pPr>
        <w:pStyle w:val="Heading3"/>
      </w:pPr>
      <w:r>
        <w:t>8.1 主文图</w:t>
      </w:r>
    </w:p>
    <w:p>
      <w:r>
        <w:t>**图1：静息态非周期主效应图（global exponent/offset与稳健性）**</w:t>
      </w:r>
    </w:p>
    <w:p>
      <w:r>
        <w:drawing>
          <wp:inline xmlns:a="http://schemas.openxmlformats.org/drawingml/2006/main" xmlns:pic="http://schemas.openxmlformats.org/drawingml/2006/picture">
            <wp:extent cx="5669280" cy="2303724"/>
            <wp:docPr id="1" name="Picture 1"/>
            <wp:cNvGraphicFramePr>
              <a:graphicFrameLocks noChangeAspect="1"/>
            </wp:cNvGraphicFramePr>
            <a:graphic>
              <a:graphicData uri="http://schemas.openxmlformats.org/drawingml/2006/picture">
                <pic:pic>
                  <pic:nvPicPr>
                    <pic:cNvPr id="0" name="fig2_main_aperiodic_effects.png"/>
                    <pic:cNvPicPr/>
                  </pic:nvPicPr>
                  <pic:blipFill>
                    <a:blip r:embed="rId9"/>
                    <a:stretch>
                      <a:fillRect/>
                    </a:stretch>
                  </pic:blipFill>
                  <pic:spPr>
                    <a:xfrm>
                      <a:off x="0" y="0"/>
                      <a:ext cx="5669280" cy="2303724"/>
                    </a:xfrm>
                    <a:prstGeom prst="rect"/>
                  </pic:spPr>
                </pic:pic>
              </a:graphicData>
            </a:graphic>
          </wp:inline>
        </w:drawing>
      </w:r>
    </w:p>
    <w:p>
      <w:r>
        <w:t>图注：展示主模型中`global_exponent`（TD&gt;ASD）和`global_offset`（趋势）结果及嵌套模型效应概览。</w:t>
      </w:r>
    </w:p>
    <w:p>
      <w:r>
        <w:t>**图2：电影ISC组间箱线图（mental/pain/neutral）**</w:t>
      </w:r>
    </w:p>
    <w:p>
      <w:r>
        <w:drawing>
          <wp:inline xmlns:a="http://schemas.openxmlformats.org/drawingml/2006/main" xmlns:pic="http://schemas.openxmlformats.org/drawingml/2006/picture">
            <wp:extent cx="5669280" cy="3464560"/>
            <wp:docPr id="2" name="Picture 2"/>
            <wp:cNvGraphicFramePr>
              <a:graphicFrameLocks noChangeAspect="1"/>
            </wp:cNvGraphicFramePr>
            <a:graphic>
              <a:graphicData uri="http://schemas.openxmlformats.org/drawingml/2006/picture">
                <pic:pic>
                  <pic:nvPicPr>
                    <pic:cNvPr id="0" name="movie_isc_group_boxplot.png"/>
                    <pic:cNvPicPr/>
                  </pic:nvPicPr>
                  <pic:blipFill>
                    <a:blip r:embed="rId10"/>
                    <a:stretch>
                      <a:fillRect/>
                    </a:stretch>
                  </pic:blipFill>
                  <pic:spPr>
                    <a:xfrm>
                      <a:off x="0" y="0"/>
                      <a:ext cx="5669280" cy="3464560"/>
                    </a:xfrm>
                    <a:prstGeom prst="rect"/>
                  </pic:spPr>
                </pic:pic>
              </a:graphicData>
            </a:graphic>
          </wp:inline>
        </w:drawing>
      </w:r>
    </w:p>
    <w:p>
      <w:r>
        <w:t>图注：三事件TD-template ISC分布与组差；当前锁定结果支持三事件均显著。</w:t>
      </w:r>
    </w:p>
    <w:p>
      <w:r>
        <w:t>**图3：静息-电影耦合散点（全样本）**</w:t>
      </w:r>
    </w:p>
    <w:p>
      <w:r>
        <w:drawing>
          <wp:inline xmlns:a="http://schemas.openxmlformats.org/drawingml/2006/main" xmlns:pic="http://schemas.openxmlformats.org/drawingml/2006/picture">
            <wp:extent cx="5669280" cy="4326556"/>
            <wp:docPr id="3" name="Picture 3"/>
            <wp:cNvGraphicFramePr>
              <a:graphicFrameLocks noChangeAspect="1"/>
            </wp:cNvGraphicFramePr>
            <a:graphic>
              <a:graphicData uri="http://schemas.openxmlformats.org/drawingml/2006/picture">
                <pic:pic>
                  <pic:nvPicPr>
                    <pic:cNvPr id="0" name="resting_to_movie_coupling_scatter.png"/>
                    <pic:cNvPicPr/>
                  </pic:nvPicPr>
                  <pic:blipFill>
                    <a:blip r:embed="rId11"/>
                    <a:stretch>
                      <a:fillRect/>
                    </a:stretch>
                  </pic:blipFill>
                  <pic:spPr>
                    <a:xfrm>
                      <a:off x="0" y="0"/>
                      <a:ext cx="5669280" cy="4326556"/>
                    </a:xfrm>
                    <a:prstGeom prst="rect"/>
                  </pic:spPr>
                </pic:pic>
              </a:graphicData>
            </a:graphic>
          </wp:inline>
        </w:drawing>
      </w:r>
    </w:p>
    <w:p>
      <w:r>
        <w:t>图注：`posterior_exponent`与`mental_isc_z`的分组关系，配合OLS/RLM交互统计解释。</w:t>
      </w:r>
    </w:p>
    <w:p>
      <w:r>
        <w:t>**图4：静息-电影耦合散点（&gt;72月子样本）**</w:t>
      </w:r>
    </w:p>
    <w:p>
      <w:r>
        <w:drawing>
          <wp:inline xmlns:a="http://schemas.openxmlformats.org/drawingml/2006/main" xmlns:pic="http://schemas.openxmlformats.org/drawingml/2006/picture">
            <wp:extent cx="5669280" cy="4326556"/>
            <wp:docPr id="4" name="Picture 4"/>
            <wp:cNvGraphicFramePr>
              <a:graphicFrameLocks noChangeAspect="1"/>
            </wp:cNvGraphicFramePr>
            <a:graphic>
              <a:graphicData uri="http://schemas.openxmlformats.org/drawingml/2006/picture">
                <pic:pic>
                  <pic:nvPicPr>
                    <pic:cNvPr id="0" name="resting_to_movie_coupling_scatter_older72.png"/>
                    <pic:cNvPicPr/>
                  </pic:nvPicPr>
                  <pic:blipFill>
                    <a:blip r:embed="rId12"/>
                    <a:stretch>
                      <a:fillRect/>
                    </a:stretch>
                  </pic:blipFill>
                  <pic:spPr>
                    <a:xfrm>
                      <a:off x="0" y="0"/>
                      <a:ext cx="5669280" cy="4326556"/>
                    </a:xfrm>
                    <a:prstGeom prst="rect"/>
                  </pic:spPr>
                </pic:pic>
              </a:graphicData>
            </a:graphic>
          </wp:inline>
        </w:drawing>
      </w:r>
    </w:p>
    <w:p>
      <w:r>
        <w:t>图注：大龄子样本耦合模式可视化，用于发育阶段敏感性参考。</w:t>
      </w:r>
    </w:p>
    <w:p>
      <w:r>
        <w:t>**图5：posterior exponent vs CARS散点**</w:t>
      </w:r>
    </w:p>
    <w:p>
      <w:r>
        <w:drawing>
          <wp:inline xmlns:a="http://schemas.openxmlformats.org/drawingml/2006/main" xmlns:pic="http://schemas.openxmlformats.org/drawingml/2006/picture">
            <wp:extent cx="5669280" cy="4357054"/>
            <wp:docPr id="5" name="Picture 5"/>
            <wp:cNvGraphicFramePr>
              <a:graphicFrameLocks noChangeAspect="1"/>
            </wp:cNvGraphicFramePr>
            <a:graphic>
              <a:graphicData uri="http://schemas.openxmlformats.org/drawingml/2006/picture">
                <pic:pic>
                  <pic:nvPicPr>
                    <pic:cNvPr id="0" name="posterior_exponent_vs_cars_scatter.png"/>
                    <pic:cNvPicPr/>
                  </pic:nvPicPr>
                  <pic:blipFill>
                    <a:blip r:embed="rId13"/>
                    <a:stretch>
                      <a:fillRect/>
                    </a:stretch>
                  </pic:blipFill>
                  <pic:spPr>
                    <a:xfrm>
                      <a:off x="0" y="0"/>
                      <a:ext cx="5669280" cy="4357054"/>
                    </a:xfrm>
                    <a:prstGeom prst="rect"/>
                  </pic:spPr>
                </pic:pic>
              </a:graphicData>
            </a:graphic>
          </wp:inline>
        </w:drawing>
      </w:r>
    </w:p>
    <w:p>
      <w:r>
        <w:t>图注：ASD内临床相关探索图；因strict不稳健，本图仅作敏感性展示。</w:t>
      </w:r>
    </w:p>
    <w:p>
      <w:r>
        <w:t>**图6：mental ISC vs CARS散点**</w:t>
      </w:r>
    </w:p>
    <w:p>
      <w:r>
        <w:drawing>
          <wp:inline xmlns:a="http://schemas.openxmlformats.org/drawingml/2006/main" xmlns:pic="http://schemas.openxmlformats.org/drawingml/2006/picture">
            <wp:extent cx="5669280" cy="4361699"/>
            <wp:docPr id="6" name="Picture 6"/>
            <wp:cNvGraphicFramePr>
              <a:graphicFrameLocks noChangeAspect="1"/>
            </wp:cNvGraphicFramePr>
            <a:graphic>
              <a:graphicData uri="http://schemas.openxmlformats.org/drawingml/2006/picture">
                <pic:pic>
                  <pic:nvPicPr>
                    <pic:cNvPr id="0" name="mental_isc_vs_cars_scatter.png"/>
                    <pic:cNvPicPr/>
                  </pic:nvPicPr>
                  <pic:blipFill>
                    <a:blip r:embed="rId14"/>
                    <a:stretch>
                      <a:fillRect/>
                    </a:stretch>
                  </pic:blipFill>
                  <pic:spPr>
                    <a:xfrm>
                      <a:off x="0" y="0"/>
                      <a:ext cx="5669280" cy="4361699"/>
                    </a:xfrm>
                    <a:prstGeom prst="rect"/>
                  </pic:spPr>
                </pic:pic>
              </a:graphicData>
            </a:graphic>
          </wp:inline>
        </w:drawing>
      </w:r>
    </w:p>
    <w:p>
      <w:r>
        <w:t>图注：任务同步指标与症状量表关系图；用于补充临床解释边界。</w:t>
      </w:r>
    </w:p>
    <w:p>
      <w:pPr>
        <w:pStyle w:val="Heading3"/>
      </w:pPr>
      <w:r>
        <w:t>8.2 补充图建议</w:t>
      </w:r>
    </w:p>
    <w:p>
      <w:pPr>
        <w:pStyle w:val="ListBullet"/>
      </w:pPr>
      <w:r>
        <w:t>补图S1：strict与relaxed口径关键p值并列森林图（建议后续自动生成）。</w:t>
      </w:r>
    </w:p>
    <w:p>
      <w:pPr>
        <w:pStyle w:val="ListBullet"/>
      </w:pPr>
      <w:r>
        <w:t>补图S2：QC协变量控制前后ISC系数变化图（建议后续自动生成）。</w:t>
      </w:r>
    </w:p>
    <w:p>
      <w:pPr>
        <w:pStyle w:val="Heading2"/>
      </w:pPr>
      <w:r>
        <w:t>9. 主文表格（可直接投稿排版）</w:t>
      </w:r>
    </w:p>
    <w:p>
      <w:pPr>
        <w:pStyle w:val="Heading3"/>
      </w:pPr>
      <w:r>
        <w:t>表1 样本流转（静息态主分析）</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stage</w:t>
            </w:r>
          </w:p>
        </w:tc>
        <w:tc>
          <w:tcPr>
            <w:tcW w:type="dxa" w:w="1440"/>
          </w:tcPr>
          <w:p>
            <w:r>
              <w:t>n_total</w:t>
            </w:r>
          </w:p>
        </w:tc>
        <w:tc>
          <w:tcPr>
            <w:tcW w:type="dxa" w:w="1440"/>
          </w:tcPr>
          <w:p>
            <w:r>
              <w:t>n_ASD</w:t>
            </w:r>
          </w:p>
        </w:tc>
        <w:tc>
          <w:tcPr>
            <w:tcW w:type="dxa" w:w="1440"/>
          </w:tcPr>
          <w:p>
            <w:r>
              <w:t>n_TD</w:t>
            </w:r>
          </w:p>
        </w:tc>
        <w:tc>
          <w:tcPr>
            <w:tcW w:type="dxa" w:w="1440"/>
          </w:tcPr>
          <w:p>
            <w:r>
              <w:t>excluded_total</w:t>
            </w:r>
          </w:p>
        </w:tc>
        <w:tc>
          <w:tcPr>
            <w:tcW w:type="dxa" w:w="1440"/>
          </w:tcPr>
          <w:p>
            <w:r>
              <w:t>exclusion_reason</w:t>
            </w:r>
          </w:p>
        </w:tc>
      </w:tr>
      <w:tr>
        <w:tc>
          <w:tcPr>
            <w:tcW w:type="dxa" w:w="1440"/>
          </w:tcPr>
          <w:p>
            <w:r>
              <w:t>participants_total</w:t>
            </w:r>
          </w:p>
        </w:tc>
        <w:tc>
          <w:tcPr>
            <w:tcW w:type="dxa" w:w="1440"/>
          </w:tcPr>
          <w:p>
            <w:r>
              <w:t>168</w:t>
            </w:r>
          </w:p>
        </w:tc>
        <w:tc>
          <w:tcPr>
            <w:tcW w:type="dxa" w:w="1440"/>
          </w:tcPr>
          <w:p>
            <w:r>
              <w:t>80</w:t>
            </w:r>
          </w:p>
        </w:tc>
        <w:tc>
          <w:tcPr>
            <w:tcW w:type="dxa" w:w="1440"/>
          </w:tcPr>
          <w:p>
            <w:r>
              <w:t>88</w:t>
            </w:r>
          </w:p>
        </w:tc>
        <w:tc>
          <w:tcPr>
            <w:tcW w:type="dxa" w:w="1440"/>
          </w:tcPr>
          <w:p>
            <w:r/>
          </w:p>
        </w:tc>
        <w:tc>
          <w:tcPr>
            <w:tcW w:type="dxa" w:w="1440"/>
          </w:tcPr>
          <w:p>
            <w:r/>
          </w:p>
        </w:tc>
      </w:tr>
      <w:tr>
        <w:tc>
          <w:tcPr>
            <w:tcW w:type="dxa" w:w="1440"/>
          </w:tcPr>
          <w:p>
            <w:r>
              <w:t>included_final</w:t>
            </w:r>
          </w:p>
        </w:tc>
        <w:tc>
          <w:tcPr>
            <w:tcW w:type="dxa" w:w="1440"/>
          </w:tcPr>
          <w:p>
            <w:r>
              <w:t>168</w:t>
            </w:r>
          </w:p>
        </w:tc>
        <w:tc>
          <w:tcPr>
            <w:tcW w:type="dxa" w:w="1440"/>
          </w:tcPr>
          <w:p>
            <w:r>
              <w:t>80</w:t>
            </w:r>
          </w:p>
        </w:tc>
        <w:tc>
          <w:tcPr>
            <w:tcW w:type="dxa" w:w="1440"/>
          </w:tcPr>
          <w:p>
            <w:r>
              <w:t>88</w:t>
            </w:r>
          </w:p>
        </w:tc>
        <w:tc>
          <w:tcPr>
            <w:tcW w:type="dxa" w:w="1440"/>
          </w:tcPr>
          <w:p>
            <w:r>
              <w:t>0</w:t>
            </w:r>
          </w:p>
        </w:tc>
        <w:tc>
          <w:tcPr>
            <w:tcW w:type="dxa" w:w="1440"/>
          </w:tcPr>
          <w:p>
            <w:r>
              <w:t>not included_final=1</w:t>
            </w:r>
          </w:p>
        </w:tc>
      </w:tr>
      <w:tr>
        <w:tc>
          <w:tcPr>
            <w:tcW w:type="dxa" w:w="1440"/>
          </w:tcPr>
          <w:p>
            <w:r>
              <w:t>preprocessing_success</w:t>
            </w:r>
          </w:p>
        </w:tc>
        <w:tc>
          <w:tcPr>
            <w:tcW w:type="dxa" w:w="1440"/>
          </w:tcPr>
          <w:p>
            <w:r>
              <w:t>168</w:t>
            </w:r>
          </w:p>
        </w:tc>
        <w:tc>
          <w:tcPr>
            <w:tcW w:type="dxa" w:w="1440"/>
          </w:tcPr>
          <w:p>
            <w:r>
              <w:t>80</w:t>
            </w:r>
          </w:p>
        </w:tc>
        <w:tc>
          <w:tcPr>
            <w:tcW w:type="dxa" w:w="1440"/>
          </w:tcPr>
          <w:p>
            <w:r>
              <w:t>88</w:t>
            </w:r>
          </w:p>
        </w:tc>
        <w:tc>
          <w:tcPr>
            <w:tcW w:type="dxa" w:w="1440"/>
          </w:tcPr>
          <w:p>
            <w:r>
              <w:t>0</w:t>
            </w:r>
          </w:p>
        </w:tc>
        <w:tc>
          <w:tcPr>
            <w:tcW w:type="dxa" w:w="1440"/>
          </w:tcPr>
          <w:p>
            <w:r>
              <w:t>preprocessing failed or no epochs</w:t>
            </w:r>
          </w:p>
        </w:tc>
      </w:tr>
      <w:tr>
        <w:tc>
          <w:tcPr>
            <w:tcW w:type="dxa" w:w="1440"/>
          </w:tcPr>
          <w:p>
            <w:r>
              <w:t>min_usable_epochs_pass</w:t>
            </w:r>
          </w:p>
        </w:tc>
        <w:tc>
          <w:tcPr>
            <w:tcW w:type="dxa" w:w="1440"/>
          </w:tcPr>
          <w:p>
            <w:r>
              <w:t>145</w:t>
            </w:r>
          </w:p>
        </w:tc>
        <w:tc>
          <w:tcPr>
            <w:tcW w:type="dxa" w:w="1440"/>
          </w:tcPr>
          <w:p>
            <w:r>
              <w:t>65</w:t>
            </w:r>
          </w:p>
        </w:tc>
        <w:tc>
          <w:tcPr>
            <w:tcW w:type="dxa" w:w="1440"/>
          </w:tcPr>
          <w:p>
            <w:r>
              <w:t>80</w:t>
            </w:r>
          </w:p>
        </w:tc>
        <w:tc>
          <w:tcPr>
            <w:tcW w:type="dxa" w:w="1440"/>
          </w:tcPr>
          <w:p>
            <w:r>
              <w:t>23</w:t>
            </w:r>
          </w:p>
        </w:tc>
        <w:tc>
          <w:tcPr>
            <w:tcW w:type="dxa" w:w="1440"/>
          </w:tcPr>
          <w:p>
            <w:r>
              <w:t>usable_epochs &lt; 60</w:t>
            </w:r>
          </w:p>
        </w:tc>
      </w:tr>
      <w:tr>
        <w:tc>
          <w:tcPr>
            <w:tcW w:type="dxa" w:w="1440"/>
          </w:tcPr>
          <w:p>
            <w:r>
              <w:t>specparam_subject_qc_pass</w:t>
            </w:r>
          </w:p>
        </w:tc>
        <w:tc>
          <w:tcPr>
            <w:tcW w:type="dxa" w:w="1440"/>
          </w:tcPr>
          <w:p>
            <w:r>
              <w:t>138</w:t>
            </w:r>
          </w:p>
        </w:tc>
        <w:tc>
          <w:tcPr>
            <w:tcW w:type="dxa" w:w="1440"/>
          </w:tcPr>
          <w:p>
            <w:r>
              <w:t>61</w:t>
            </w:r>
          </w:p>
        </w:tc>
        <w:tc>
          <w:tcPr>
            <w:tcW w:type="dxa" w:w="1440"/>
          </w:tcPr>
          <w:p>
            <w:r>
              <w:t>77</w:t>
            </w:r>
          </w:p>
        </w:tc>
        <w:tc>
          <w:tcPr>
            <w:tcW w:type="dxa" w:w="1440"/>
          </w:tcPr>
          <w:p>
            <w:r>
              <w:t>7</w:t>
            </w:r>
          </w:p>
        </w:tc>
        <w:tc>
          <w:tcPr>
            <w:tcW w:type="dxa" w:w="1440"/>
          </w:tcPr>
          <w:p>
            <w:r>
              <w:t>low_quality_subject (invalid channel ratio &gt; threshold)</w:t>
            </w:r>
          </w:p>
        </w:tc>
      </w:tr>
      <w:tr>
        <w:tc>
          <w:tcPr>
            <w:tcW w:type="dxa" w:w="1440"/>
          </w:tcPr>
          <w:p>
            <w:r>
              <w:t>roi_available_after_specparam</w:t>
            </w:r>
          </w:p>
        </w:tc>
        <w:tc>
          <w:tcPr>
            <w:tcW w:type="dxa" w:w="1440"/>
          </w:tcPr>
          <w:p>
            <w:r>
              <w:t>138</w:t>
            </w:r>
          </w:p>
        </w:tc>
        <w:tc>
          <w:tcPr>
            <w:tcW w:type="dxa" w:w="1440"/>
          </w:tcPr>
          <w:p>
            <w:r>
              <w:t>61</w:t>
            </w:r>
          </w:p>
        </w:tc>
        <w:tc>
          <w:tcPr>
            <w:tcW w:type="dxa" w:w="1440"/>
          </w:tcPr>
          <w:p>
            <w:r>
              <w:t>77</w:t>
            </w:r>
          </w:p>
        </w:tc>
        <w:tc>
          <w:tcPr>
            <w:tcW w:type="dxa" w:w="1440"/>
          </w:tcPr>
          <w:p>
            <w:r>
              <w:t>0</w:t>
            </w:r>
          </w:p>
        </w:tc>
        <w:tc>
          <w:tcPr>
            <w:tcW w:type="dxa" w:w="1440"/>
          </w:tcPr>
          <w:p>
            <w:r/>
          </w:p>
        </w:tc>
      </w:tr>
      <w:tr>
        <w:tc>
          <w:tcPr>
            <w:tcW w:type="dxa" w:w="1440"/>
          </w:tcPr>
          <w:p>
            <w:r>
              <w:t>main_analysis_complete_case</w:t>
            </w:r>
          </w:p>
        </w:tc>
        <w:tc>
          <w:tcPr>
            <w:tcW w:type="dxa" w:w="1440"/>
          </w:tcPr>
          <w:p>
            <w:r>
              <w:t>138</w:t>
            </w:r>
          </w:p>
        </w:tc>
        <w:tc>
          <w:tcPr>
            <w:tcW w:type="dxa" w:w="1440"/>
          </w:tcPr>
          <w:p>
            <w:r>
              <w:t>61</w:t>
            </w:r>
          </w:p>
        </w:tc>
        <w:tc>
          <w:tcPr>
            <w:tcW w:type="dxa" w:w="1440"/>
          </w:tcPr>
          <w:p>
            <w:r>
              <w:t>77</w:t>
            </w:r>
          </w:p>
        </w:tc>
        <w:tc>
          <w:tcPr>
            <w:tcW w:type="dxa" w:w="1440"/>
          </w:tcPr>
          <w:p>
            <w:r>
              <w:t>0</w:t>
            </w:r>
          </w:p>
        </w:tc>
        <w:tc>
          <w:tcPr>
            <w:tcW w:type="dxa" w:w="1440"/>
          </w:tcPr>
          <w:p>
            <w:r>
              <w:t>missing outcome/covariates or specparam QC fail</w:t>
            </w:r>
          </w:p>
        </w:tc>
      </w:tr>
    </w:tbl>
    <w:p>
      <w:r>
        <w:t>数据来源：`outputs/tables/sample_inclusion_flow.csv`</w:t>
      </w:r>
    </w:p>
    <w:p>
      <w:pPr>
        <w:pStyle w:val="Heading3"/>
      </w:pPr>
      <w:r>
        <w:t>表2 锁定主统计表（relaxed主口径）</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Analysis_Type</w:t>
            </w:r>
          </w:p>
        </w:tc>
        <w:tc>
          <w:tcPr>
            <w:tcW w:type="dxa" w:w="1728"/>
          </w:tcPr>
          <w:p>
            <w:r>
              <w:t>Cohort_N</w:t>
            </w:r>
          </w:p>
        </w:tc>
        <w:tc>
          <w:tcPr>
            <w:tcW w:type="dxa" w:w="1728"/>
          </w:tcPr>
          <w:p>
            <w:r>
              <w:t>Test_Statistic</w:t>
            </w:r>
          </w:p>
        </w:tc>
        <w:tc>
          <w:tcPr>
            <w:tcW w:type="dxa" w:w="1728"/>
          </w:tcPr>
          <w:p>
            <w:r>
              <w:t>Raw_p</w:t>
            </w:r>
          </w:p>
        </w:tc>
        <w:tc>
          <w:tcPr>
            <w:tcW w:type="dxa" w:w="1728"/>
          </w:tcPr>
          <w:p>
            <w:r>
              <w:t>FDR_p</w:t>
            </w:r>
          </w:p>
        </w:tc>
      </w:tr>
      <w:tr>
        <w:tc>
          <w:tcPr>
            <w:tcW w:type="dxa" w:w="1728"/>
          </w:tcPr>
          <w:p>
            <w:r>
              <w:t>ISC_mental</w:t>
            </w:r>
          </w:p>
        </w:tc>
        <w:tc>
          <w:tcPr>
            <w:tcW w:type="dxa" w:w="1728"/>
          </w:tcPr>
          <w:p>
            <w:r>
              <w:t>ASD=73,TD=95</w:t>
            </w:r>
          </w:p>
        </w:tc>
        <w:tc>
          <w:tcPr>
            <w:tcW w:type="dxa" w:w="1728"/>
          </w:tcPr>
          <w:p>
            <w:r>
              <w:t>-2.302147242807646</w:t>
            </w:r>
          </w:p>
        </w:tc>
        <w:tc>
          <w:tcPr>
            <w:tcW w:type="dxa" w:w="1728"/>
          </w:tcPr>
          <w:p>
            <w:r>
              <w:t>0.0228236392086339</w:t>
            </w:r>
          </w:p>
        </w:tc>
        <w:tc>
          <w:tcPr>
            <w:tcW w:type="dxa" w:w="1728"/>
          </w:tcPr>
          <w:p>
            <w:r>
              <w:t>0.0228236392086339</w:t>
            </w:r>
          </w:p>
        </w:tc>
      </w:tr>
      <w:tr>
        <w:tc>
          <w:tcPr>
            <w:tcW w:type="dxa" w:w="1728"/>
          </w:tcPr>
          <w:p>
            <w:r>
              <w:t>ISC_pain</w:t>
            </w:r>
          </w:p>
        </w:tc>
        <w:tc>
          <w:tcPr>
            <w:tcW w:type="dxa" w:w="1728"/>
          </w:tcPr>
          <w:p>
            <w:r>
              <w:t>ASD=73,TD=95</w:t>
            </w:r>
          </w:p>
        </w:tc>
        <w:tc>
          <w:tcPr>
            <w:tcW w:type="dxa" w:w="1728"/>
          </w:tcPr>
          <w:p>
            <w:r>
              <w:t>-3.925915102794856</w:t>
            </w:r>
          </w:p>
        </w:tc>
        <w:tc>
          <w:tcPr>
            <w:tcW w:type="dxa" w:w="1728"/>
          </w:tcPr>
          <w:p>
            <w:r>
              <w:t>0.0001356440971062</w:t>
            </w:r>
          </w:p>
        </w:tc>
        <w:tc>
          <w:tcPr>
            <w:tcW w:type="dxa" w:w="1728"/>
          </w:tcPr>
          <w:p>
            <w:r>
              <w:t>0.00020346614565930002</w:t>
            </w:r>
          </w:p>
        </w:tc>
      </w:tr>
      <w:tr>
        <w:tc>
          <w:tcPr>
            <w:tcW w:type="dxa" w:w="1728"/>
          </w:tcPr>
          <w:p>
            <w:r>
              <w:t>ISC_neutral</w:t>
            </w:r>
          </w:p>
        </w:tc>
        <w:tc>
          <w:tcPr>
            <w:tcW w:type="dxa" w:w="1728"/>
          </w:tcPr>
          <w:p>
            <w:r>
              <w:t>ASD=73,TD=96</w:t>
            </w:r>
          </w:p>
        </w:tc>
        <w:tc>
          <w:tcPr>
            <w:tcW w:type="dxa" w:w="1728"/>
          </w:tcPr>
          <w:p>
            <w:r>
              <w:t>-4.357184001275027</w:t>
            </w:r>
          </w:p>
        </w:tc>
        <w:tc>
          <w:tcPr>
            <w:tcW w:type="dxa" w:w="1728"/>
          </w:tcPr>
          <w:p>
            <w:r>
              <w:t>2.460057653261554e-05</w:t>
            </w:r>
          </w:p>
        </w:tc>
        <w:tc>
          <w:tcPr>
            <w:tcW w:type="dxa" w:w="1728"/>
          </w:tcPr>
          <w:p>
            <w:r>
              <w:t>7.380172959784662e-05</w:t>
            </w:r>
          </w:p>
        </w:tc>
      </w:tr>
      <w:tr>
        <w:tc>
          <w:tcPr>
            <w:tcW w:type="dxa" w:w="1728"/>
          </w:tcPr>
          <w:p>
            <w:r>
              <w:t>Delta_mental</w:t>
            </w:r>
          </w:p>
        </w:tc>
        <w:tc>
          <w:tcPr>
            <w:tcW w:type="dxa" w:w="1728"/>
          </w:tcPr>
          <w:p>
            <w:r>
              <w:t>ASD=56,TD=73</w:t>
            </w:r>
          </w:p>
        </w:tc>
        <w:tc>
          <w:tcPr>
            <w:tcW w:type="dxa" w:w="1728"/>
          </w:tcPr>
          <w:p>
            <w:r>
              <w:t>3.5009889307920794</w:t>
            </w:r>
          </w:p>
        </w:tc>
        <w:tc>
          <w:tcPr>
            <w:tcW w:type="dxa" w:w="1728"/>
          </w:tcPr>
          <w:p>
            <w:r>
              <w:t>0.0007112589837053</w:t>
            </w:r>
          </w:p>
        </w:tc>
        <w:tc>
          <w:tcPr>
            <w:tcW w:type="dxa" w:w="1728"/>
          </w:tcPr>
          <w:p>
            <w:r>
              <w:t>0.0007112589837053</w:t>
            </w:r>
          </w:p>
        </w:tc>
      </w:tr>
      <w:tr>
        <w:tc>
          <w:tcPr>
            <w:tcW w:type="dxa" w:w="1728"/>
          </w:tcPr>
          <w:p>
            <w:r>
              <w:t>Delta_pain</w:t>
            </w:r>
          </w:p>
        </w:tc>
        <w:tc>
          <w:tcPr>
            <w:tcW w:type="dxa" w:w="1728"/>
          </w:tcPr>
          <w:p>
            <w:r>
              <w:t>ASD=56,TD=73</w:t>
            </w:r>
          </w:p>
        </w:tc>
        <w:tc>
          <w:tcPr>
            <w:tcW w:type="dxa" w:w="1728"/>
          </w:tcPr>
          <w:p>
            <w:r>
              <w:t>3.6950391222583874</w:t>
            </w:r>
          </w:p>
        </w:tc>
        <w:tc>
          <w:tcPr>
            <w:tcW w:type="dxa" w:w="1728"/>
          </w:tcPr>
          <w:p>
            <w:r>
              <w:t>0.0003720742183072</w:t>
            </w:r>
          </w:p>
        </w:tc>
        <w:tc>
          <w:tcPr>
            <w:tcW w:type="dxa" w:w="1728"/>
          </w:tcPr>
          <w:p>
            <w:r>
              <w:t>0.0007112589837053</w:t>
            </w:r>
          </w:p>
        </w:tc>
      </w:tr>
    </w:tbl>
    <w:p>
      <w:r>
        <w:t>数据来源：`outputs/tables/final_paper_stats_locked.csv`</w:t>
      </w:r>
    </w:p>
    <w:p>
      <w:pPr>
        <w:pStyle w:val="Heading3"/>
      </w:pPr>
      <w:r>
        <w:t>表3 关键敏感性对照（strict vs relaxed）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relaxed（n/p）</w:t>
            </w:r>
          </w:p>
        </w:tc>
        <w:tc>
          <w:tcPr>
            <w:tcW w:type="dxa" w:w="2160"/>
          </w:tcPr>
          <w:p>
            <w:r>
              <w:t>strict（n/p）</w:t>
            </w:r>
          </w:p>
        </w:tc>
        <w:tc>
          <w:tcPr>
            <w:tcW w:type="dxa" w:w="2160"/>
          </w:tcPr>
          <w:p>
            <w:r>
              <w:t>稳健性判定</w:t>
            </w:r>
          </w:p>
        </w:tc>
      </w:tr>
      <w:tr>
        <w:tc>
          <w:tcPr>
            <w:tcW w:type="dxa" w:w="2160"/>
          </w:tcPr>
          <w:p>
            <w:r>
              <w:t>posterior-CARS Spearman</w:t>
            </w:r>
          </w:p>
        </w:tc>
        <w:tc>
          <w:tcPr>
            <w:tcW w:type="dxa" w:w="2160"/>
          </w:tcPr>
          <w:p>
            <w:r>
              <w:t>n=62, p=0.040373284890588584</w:t>
            </w:r>
          </w:p>
        </w:tc>
        <w:tc>
          <w:tcPr>
            <w:tcW w:type="dxa" w:w="2160"/>
          </w:tcPr>
          <w:p>
            <w:r>
              <w:t>n=60, p=0.06825345118589014</w:t>
            </w:r>
          </w:p>
        </w:tc>
        <w:tc>
          <w:tcPr>
            <w:tcW w:type="dxa" w:w="2160"/>
          </w:tcPr>
          <w:p>
            <w:r>
              <w:t>口径敏感，降级解释</w:t>
            </w:r>
          </w:p>
        </w:tc>
      </w:tr>
      <w:tr>
        <w:tc>
          <w:tcPr>
            <w:tcW w:type="dxa" w:w="2160"/>
          </w:tcPr>
          <w:p>
            <w:r>
              <w:t>coupling interaction OLS</w:t>
            </w:r>
          </w:p>
        </w:tc>
        <w:tc>
          <w:tcPr>
            <w:tcW w:type="dxa" w:w="2160"/>
          </w:tcPr>
          <w:p>
            <w:r>
              <w:t>n=128, p=0.010235334556233</w:t>
            </w:r>
          </w:p>
        </w:tc>
        <w:tc>
          <w:tcPr>
            <w:tcW w:type="dxa" w:w="2160"/>
          </w:tcPr>
          <w:p>
            <w:r>
              <w:t>n=102, p=0.0792268618156943</w:t>
            </w:r>
          </w:p>
        </w:tc>
        <w:tc>
          <w:tcPr>
            <w:tcW w:type="dxa" w:w="2160"/>
          </w:tcPr>
          <w:p>
            <w:r>
              <w:t>口径敏感，OLS不稳健</w:t>
            </w:r>
          </w:p>
        </w:tc>
      </w:tr>
      <w:tr>
        <w:tc>
          <w:tcPr>
            <w:tcW w:type="dxa" w:w="2160"/>
          </w:tcPr>
          <w:p>
            <w:r>
              <w:t>coupling interaction RLM</w:t>
            </w:r>
          </w:p>
        </w:tc>
        <w:tc>
          <w:tcPr>
            <w:tcW w:type="dxa" w:w="2160"/>
          </w:tcPr>
          <w:p>
            <w:r>
              <w:t>n=128, p=0.0025858175860909</w:t>
            </w:r>
          </w:p>
        </w:tc>
        <w:tc>
          <w:tcPr>
            <w:tcW w:type="dxa" w:w="2160"/>
          </w:tcPr>
          <w:p>
            <w:r>
              <w:t>n=102, p=0.019514529634508</w:t>
            </w:r>
          </w:p>
        </w:tc>
        <w:tc>
          <w:tcPr>
            <w:tcW w:type="dxa" w:w="2160"/>
          </w:tcPr>
          <w:p>
            <w:r>
              <w:t>两口径均显著</w:t>
            </w:r>
          </w:p>
        </w:tc>
      </w:tr>
    </w:tbl>
    <w:p>
      <w:r>
        <w:t>数据来源：`outputs/tables/_relaxed_significance_snapshot.csv`；`outputs/tables/_strict_significance_snapshot.csv`</w:t>
      </w:r>
    </w:p>
    <w:p>
      <w:pPr>
        <w:pStyle w:val="Heading3"/>
      </w:pPr>
      <w:r>
        <w:t>表4 QC协变量控制后ISC（事件家族FDR）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event_type</w:t>
            </w:r>
          </w:p>
        </w:tc>
        <w:tc>
          <w:tcPr>
            <w:tcW w:type="dxa" w:w="1728"/>
          </w:tcPr>
          <w:p>
            <w:r>
              <w:t>raw_p</w:t>
            </w:r>
          </w:p>
        </w:tc>
        <w:tc>
          <w:tcPr>
            <w:tcW w:type="dxa" w:w="1728"/>
          </w:tcPr>
          <w:p>
            <w:r>
              <w:t>n_obs</w:t>
            </w:r>
          </w:p>
        </w:tc>
        <w:tc>
          <w:tcPr>
            <w:tcW w:type="dxa" w:w="1728"/>
          </w:tcPr>
          <w:p>
            <w:r>
              <w:t>fdr_p</w:t>
            </w:r>
          </w:p>
        </w:tc>
        <w:tc>
          <w:tcPr>
            <w:tcW w:type="dxa" w:w="1728"/>
          </w:tcPr>
          <w:p>
            <w:r>
              <w:t>significant_fdr</w:t>
            </w:r>
          </w:p>
        </w:tc>
      </w:tr>
      <w:tr>
        <w:tc>
          <w:tcPr>
            <w:tcW w:type="dxa" w:w="1728"/>
          </w:tcPr>
          <w:p>
            <w:r>
              <w:t>mental</w:t>
            </w:r>
          </w:p>
        </w:tc>
        <w:tc>
          <w:tcPr>
            <w:tcW w:type="dxa" w:w="1728"/>
          </w:tcPr>
          <w:p>
            <w:r>
              <w:t>0.02071464370698974</w:t>
            </w:r>
          </w:p>
        </w:tc>
        <w:tc>
          <w:tcPr>
            <w:tcW w:type="dxa" w:w="1728"/>
          </w:tcPr>
          <w:p>
            <w:r>
              <w:t>168</w:t>
            </w:r>
          </w:p>
        </w:tc>
        <w:tc>
          <w:tcPr>
            <w:tcW w:type="dxa" w:w="1728"/>
          </w:tcPr>
          <w:p>
            <w:r>
              <w:t>0.02071464370698974</w:t>
            </w:r>
          </w:p>
        </w:tc>
        <w:tc>
          <w:tcPr>
            <w:tcW w:type="dxa" w:w="1728"/>
          </w:tcPr>
          <w:p>
            <w:r>
              <w:t>True</w:t>
            </w:r>
          </w:p>
        </w:tc>
      </w:tr>
      <w:tr>
        <w:tc>
          <w:tcPr>
            <w:tcW w:type="dxa" w:w="1728"/>
          </w:tcPr>
          <w:p>
            <w:r>
              <w:t>pain</w:t>
            </w:r>
          </w:p>
        </w:tc>
        <w:tc>
          <w:tcPr>
            <w:tcW w:type="dxa" w:w="1728"/>
          </w:tcPr>
          <w:p>
            <w:r>
              <w:t>0.003007304496514818</w:t>
            </w:r>
          </w:p>
        </w:tc>
        <w:tc>
          <w:tcPr>
            <w:tcW w:type="dxa" w:w="1728"/>
          </w:tcPr>
          <w:p>
            <w:r>
              <w:t>168</w:t>
            </w:r>
          </w:p>
        </w:tc>
        <w:tc>
          <w:tcPr>
            <w:tcW w:type="dxa" w:w="1728"/>
          </w:tcPr>
          <w:p>
            <w:r>
              <w:t>0.004510956744772227</w:t>
            </w:r>
          </w:p>
        </w:tc>
        <w:tc>
          <w:tcPr>
            <w:tcW w:type="dxa" w:w="1728"/>
          </w:tcPr>
          <w:p>
            <w:r>
              <w:t>True</w:t>
            </w:r>
          </w:p>
        </w:tc>
      </w:tr>
      <w:tr>
        <w:tc>
          <w:tcPr>
            <w:tcW w:type="dxa" w:w="1728"/>
          </w:tcPr>
          <w:p>
            <w:r>
              <w:t>neutral</w:t>
            </w:r>
          </w:p>
        </w:tc>
        <w:tc>
          <w:tcPr>
            <w:tcW w:type="dxa" w:w="1728"/>
          </w:tcPr>
          <w:p>
            <w:r>
              <w:t>7.282946064874599e-05</w:t>
            </w:r>
          </w:p>
        </w:tc>
        <w:tc>
          <w:tcPr>
            <w:tcW w:type="dxa" w:w="1728"/>
          </w:tcPr>
          <w:p>
            <w:r>
              <w:t>169</w:t>
            </w:r>
          </w:p>
        </w:tc>
        <w:tc>
          <w:tcPr>
            <w:tcW w:type="dxa" w:w="1728"/>
          </w:tcPr>
          <w:p>
            <w:r>
              <w:t>0.00021848838194623796</w:t>
            </w:r>
          </w:p>
        </w:tc>
        <w:tc>
          <w:tcPr>
            <w:tcW w:type="dxa" w:w="1728"/>
          </w:tcPr>
          <w:p>
            <w:r>
              <w:t>True</w:t>
            </w:r>
          </w:p>
        </w:tc>
      </w:tr>
    </w:tbl>
    <w:p>
      <w:r>
        <w:t>数据来源：`outputs/tables/qc_covariate_control_event_fdr.csv`</w:t>
      </w:r>
    </w:p>
    <w:p>
      <w:pPr>
        <w:pStyle w:val="Heading2"/>
      </w:pPr>
      <w:r>
        <w:t>10. 透明度声明</w:t>
      </w:r>
    </w:p>
    <w:p>
      <w:pPr>
        <w:pStyle w:val="ListBullet"/>
      </w:pPr>
      <w:r>
        <w:t>**口径切换声明：** 主文推断以relaxed口径为准；strict仅用于敏感性验证，不直接覆盖主结论。</w:t>
      </w:r>
    </w:p>
    <w:p>
      <w:pPr>
        <w:pStyle w:val="ListBullet"/>
      </w:pPr>
      <w:r>
        <w:t>**敏感性声明：** posterior-CARS与coupling OLS在strict下不稳健，已在主文降级为探索性或模型敏感结论。</w:t>
      </w:r>
    </w:p>
    <w:p>
      <w:pPr>
        <w:pStyle w:val="ListBullet"/>
      </w:pPr>
      <w:r>
        <w:t>**QC协变量声明：** 加入`mean_fit_error`与`invalid_channel_ratio`后，ISC核心组差仍保持显著，支持主结果不完全由QC指标驱动。</w:t>
      </w:r>
    </w:p>
    <w:p>
      <w:pPr>
        <w:pStyle w:val="ListBullet"/>
      </w:pPr>
      <w:r>
        <w:t>**冲突处理声明：** 历史草稿与最新锁定CSV存在差异时，统一以锁定CSV及对应统计源文件为准，并已在“结果解释与冲突处理”中逐条标注。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