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自闭症谱系障碍儿童静息态 EEG 非周期性成分异常及其年龄依赖性：基于功率谱参数化的研究（v9）</w:t>
      </w:r>
    </w:p>
    <w:p/>
    <w:p>
      <w:pPr>
        <w:pStyle w:val="Heading1"/>
      </w:pPr>
      <w:r>
        <w:t>摘要</w:t>
      </w:r>
    </w:p>
    <w:p/>
    <w:p>
      <w:r>
        <w:t>背景：静息态 EEG 功率谱同时包含周期性振荡与非周期性 1/f 背景活动。传统频段功率分析难以区分周期峰与宽频非周期变化，可能混淆组间比较的解释（Donoghue et al., 2020a; Neo et al., 2023）。功率谱参数化（specparam/FOOOF）可将神经功率谱建模为非周期背景与周期峰之和（Donoghue et al., 2020b）。</w:t>
      </w:r>
    </w:p>
    <w:p/>
    <w:p>
      <w:r>
        <w:t>目的：比较 ASD 与典型发育（TD）儿童静息态 EEG 的非周期与周期谱参数，重点检验 global aperiodic exponent 的组间差异、空间分布、年龄依赖性、临床关联及记录内稳定性，并补充 ICLabel 伪迹控制敏感性分析。</w:t>
      </w:r>
    </w:p>
    <w:p/>
    <w:p>
      <w:r>
        <w:t>方法：纳入 168 名具静息态睁眼 EEG 及元数据的儿童（ASD 80，TD 88）。经预处理、最少可用 epoch 标准与 specparam 拟合质量控制后，138 名进入主分析（ASD 61，TD 77）。采用 EGI HydroCel-64 采集；Welch 估计 1–40 Hz PSD；specparam fixed 模式参数化。主模型控制年龄、性别、IQ_total 与可用 epoch 数。并进行稳健性、敏感性、ROI/通道探索、周期峰、临床相关、年龄交互、split-half 信度与 ICLabel（0.70/0.80 阈值）敏感性分析。</w:t>
      </w:r>
    </w:p>
    <w:p/>
    <w:p>
      <w:r>
        <w:t>结果：协变量校正后，TD 组 global aperiodic exponent 高于 ASD（β = 0.079，SE = 0.031，p = 0.012，95% CI [0.018, 0.140]）。Global offset 呈 TD &gt; ASD 趋势（β = 0.060，p = 0.095）。fixed 模式多频段敏感性方向一致；knee 模式方向一致但证据较弱。group × age 对 exponent 与 offset 交互显著。ICLabel 敏感性分析中，阈值 0.70/0.80 的 exponent 与 offset 效应方向与主分析一致，但均未达显著（exponent p = 0.119/0.115；offset p = 0.419/0.465），提示主效应对伪迹处理策略敏感。split-half 一致性高（Spearman ρ：0.959–0.972）。</w:t>
      </w:r>
    </w:p>
    <w:p/>
    <w:p>
      <w:r>
        <w:t>结论：主分析显示 ASD 儿童 global aperiodic exponent 低于 TD；ICLabel 敏感性分析提示该效应在更严格自动伪迹剔除下减弱。综合证据支持将 primary 结果作为主结论，同时对伪迹控制敏感性保持谨慎解释。</w:t>
      </w:r>
    </w:p>
    <w:p/>
    <w:p>
      <w:r>
        <w:t>关键词：自闭症谱系障碍；静息态 EEG；非周期成分；aperiodic exponent；specparam；功率谱参数化；儿童；神经发育；ICLabel</w:t>
      </w:r>
    </w:p>
    <w:p/>
    <w:p>
      <w:pPr>
        <w:pStyle w:val="Heading1"/>
      </w:pPr>
      <w:r>
        <w:t>1. 引言</w:t>
      </w:r>
    </w:p>
    <w:p/>
    <w:p>
      <w:r>
        <w:t>本研究关注 ASD 儿童静息态 EEG 中非周期成分（aperiodic exponent/offset）与周期峰参数的组间差异及其年龄依赖性。既往文献提示，传统频段指标可能受非周期背景混杂，难以直接对应振荡机制（Donoghue et al., 2020a, 2020b; Neo et al., 2023）。因此，本研究以参数化谱分解为核心，并将 ICLabel 伪迹控制作为敏感性补充，以评估主结论对清理策略的稳健性。</w:t>
      </w:r>
    </w:p>
    <w:p/>
    <w:p>
      <w:pPr>
        <w:pStyle w:val="Heading1"/>
      </w:pPr>
      <w:r>
        <w:t>2. 方法</w:t>
      </w:r>
    </w:p>
    <w:p/>
    <w:p>
      <w:pPr>
        <w:pStyle w:val="Heading2"/>
      </w:pPr>
      <w:r>
        <w:t>2.1 研究设计与样本</w:t>
      </w:r>
    </w:p>
    <w:p/>
    <w:p>
      <w:r>
        <w:t>横断面观察性设计。纳入 168 名被试（ASD 80，TD 88）；经 epoch 与 specparam 质量控制后，主分析样本为 138 名（ASD 61，TD 77）。</w:t>
      </w:r>
    </w:p>
    <w:p/>
    <w:p>
      <w:pPr>
        <w:pStyle w:val="Heading2"/>
      </w:pPr>
      <w:r>
        <w:t>2.2 EEG 预处理与参数化</w:t>
      </w:r>
    </w:p>
    <w:p/>
    <w:p>
      <w:r>
        <w:t>主流程：0.5–45 Hz 滤波、50 Hz 陷波、重采样、坏导插值、平均参考、2 s epoch；Welch 估计 1–40 Hz PSD；specparam fixed 模式得到 global exponent/offset 及周期峰参数。</w:t>
      </w:r>
    </w:p>
    <w:p/>
    <w:p>
      <w:pPr>
        <w:pStyle w:val="Heading2"/>
      </w:pPr>
      <w:r>
        <w:t>2.3 主模型</w:t>
      </w:r>
    </w:p>
    <w:p/>
    <w:p>
      <w:r>
        <w:t>主模型与次模型均为协变量校正 OLS：</w:t>
      </w:r>
    </w:p>
    <w:p/>
    <w:p>
      <w:r>
        <w:t>- `global_exponent ~ C(group) + age_months + C(sex) + IQ_total + usable_epochs`</w:t>
      </w:r>
    </w:p>
    <w:p>
      <w:r>
        <w:t>- `global_offset ~ C(group) + age_months + C(sex) + IQ_total + usable_epochs`</w:t>
      </w:r>
    </w:p>
    <w:p/>
    <w:p>
      <w:pPr>
        <w:pStyle w:val="Heading2"/>
      </w:pPr>
      <w:r>
        <w:t>2.4 ICLabel 伪迹控制敏感性分析</w:t>
      </w:r>
    </w:p>
    <w:p/>
    <w:p>
      <w:r>
        <w:t>在不覆盖主流程输出的前提下，使用 extended infomax ICA + mne-icalabel（ICLabel）重新清理数据。对 eye/muscle/heart/line noise/channel noise 五类成分在概率阈值 ≥ 0.70 或 ≥ 0.80 时剔除，之后重跑 PSD、specparam 与同构 OLS 模型。该分析作为 sensitivity，不替代 primary pipeline。</w:t>
      </w:r>
    </w:p>
    <w:p/>
    <w:p>
      <w:pPr>
        <w:pStyle w:val="Heading1"/>
      </w:pPr>
      <w:r>
        <w:t>3. 结果</w:t>
      </w:r>
    </w:p>
    <w:p/>
    <w:p>
      <w:pPr>
        <w:pStyle w:val="Heading2"/>
      </w:pPr>
      <w:r>
        <w:t>3.1 主分析</w:t>
      </w:r>
    </w:p>
    <w:p/>
    <w:p>
      <w:r>
        <w:t>- `global_exponent`：TD &gt; ASD，β = 0.079，SE = 0.031，p = 0.012，95% CI [0.018, 0.140]，n = 138。</w:t>
      </w:r>
    </w:p>
    <w:p>
      <w:r>
        <w:t>- `global_offset`：TD &gt; ASD 趋势，β = 0.060，p = 0.095。</w:t>
      </w:r>
    </w:p>
    <w:p/>
    <w:p>
      <w:pPr>
        <w:pStyle w:val="Heading2"/>
      </w:pPr>
      <w:r>
        <w:t>3.2 其他稳健性结果（简述）</w:t>
      </w:r>
    </w:p>
    <w:p/>
    <w:p>
      <w:r>
        <w:t>- fixed 模式多频段设定方向一致；</w:t>
      </w:r>
    </w:p>
    <w:p>
      <w:r>
        <w:t>- knee 模式方向一致但证据较弱；</w:t>
      </w:r>
    </w:p>
    <w:p>
      <w:r>
        <w:t>- `group × age_months` 在 exponent 与 offset 均显著；</w:t>
      </w:r>
    </w:p>
    <w:p>
      <w:r>
        <w:t>- 周期峰组间主效应不显著；</w:t>
      </w:r>
    </w:p>
    <w:p>
      <w:r>
        <w:t>- split-half 一致性高（ρ = 0.959–0.972）。</w:t>
      </w:r>
    </w:p>
    <w:p/>
    <w:p>
      <w:pPr>
        <w:pStyle w:val="Heading2"/>
      </w:pPr>
      <w:r>
        <w:t>3.3 ICLabel sensitivity（新增整合）</w:t>
      </w:r>
    </w:p>
    <w:p/>
    <w:p>
      <w:r>
        <w:t>ICLabel 0.70 与 0.80 阈值的主模型均包含与 primary 相同协变量（`age_months`、`sex`、`IQ_total`、`usable_epochs`）。结果如下：</w:t>
      </w:r>
    </w:p>
    <w:p/>
    <w:p>
      <w:r>
        <w:t>- `global_exponent`（0.70）：β = 0.053，SE = 0.034，p = 0.119，n = 137。</w:t>
      </w:r>
    </w:p>
    <w:p>
      <w:r>
        <w:t>- `global_exponent`（0.80）：β = 0.053，SE = 0.033，p = 0.115，n = 135。</w:t>
      </w:r>
    </w:p>
    <w:p>
      <w:r>
        <w:t>- `global_offset`（0.70）：β = 0.032，SE = 0.040，p = 0.419，n = 137。</w:t>
      </w:r>
    </w:p>
    <w:p>
      <w:r>
        <w:t>- `global_offset`（0.80）：β = 0.029，SE = 0.039，p = 0.465，n = 135。</w:t>
      </w:r>
    </w:p>
    <w:p/>
    <w:p>
      <w:r>
        <w:t>解释：在更严格自动伪迹剔除后，效应方向保持为 TD &gt; ASD，但效应量较 primary 减小、显著性下降。</w:t>
      </w:r>
    </w:p>
    <w:p/>
    <w:p>
      <w:pPr>
        <w:pStyle w:val="Heading1"/>
      </w:pPr>
      <w:r>
        <w:t>4. 讨论</w:t>
      </w:r>
    </w:p>
    <w:p/>
    <w:p>
      <w:pPr>
        <w:pStyle w:val="Heading2"/>
      </w:pPr>
      <w:r>
        <w:t>4.1 主要结论</w:t>
      </w:r>
    </w:p>
    <w:p/>
    <w:p>
      <w:r>
        <w:t>本研究 primary 结果支持 ASD 组在 global aperiodic exponent 上低于 TD。该发现在多种协变量与参数设定下方向稳定，提示非周期背景维度是本队列较敏感的组间特征。</w:t>
      </w:r>
    </w:p>
    <w:p/>
    <w:p>
      <w:pPr>
        <w:pStyle w:val="Heading2"/>
      </w:pPr>
      <w:r>
        <w:t>4.2 ICLabel 敏感性结果的定位</w:t>
      </w:r>
    </w:p>
    <w:p/>
    <w:p>
      <w:r>
        <w:t>ICLabel 结果不应被直接作为“替代主分析”的最终结论，而应作为稳健性证据的一部分。原因包括：</w:t>
      </w:r>
    </w:p>
    <w:p/>
    <w:p>
      <w:r>
        <w:t>- 该分析属于后续敏感性分支，不是 primary pipeline 的预设主终点；</w:t>
      </w:r>
    </w:p>
    <w:p>
      <w:r>
        <w:t>- 阈值 0.70/0.80 下效应方向未反转，而是“同方向、证据减弱”；</w:t>
      </w:r>
    </w:p>
    <w:p>
      <w:r>
        <w:t>- 结果更合理的解释是：主结论对伪迹处理策略存在一定敏感性，需要在讨论中保留不确定性，而非简单改写为“无组差”。</w:t>
      </w:r>
    </w:p>
    <w:p/>
    <w:p>
      <w:r>
        <w:t>因此，最终表述应为：**primary 显示 exponent 组差显著；ICLabel 敏感性分析显示同方向但不显著，提示需要谨慎解释并待独立样本复核。**</w:t>
      </w:r>
    </w:p>
    <w:p/>
    <w:p>
      <w:pPr>
        <w:pStyle w:val="Heading2"/>
      </w:pPr>
      <w:r>
        <w:t>4.3 与 Chen et al. (2026) 的关系</w:t>
      </w:r>
    </w:p>
    <w:p/>
    <w:p>
      <w:r>
        <w:t>Chen et al.（2026）强调 offset 组差，而本研究 primary 强调 exponent 组差。二者差异可由年龄结构、协变量结构、参数定义与清理策略差异共同解释。ICLabel 阴性不构成对 primary 的直接否定，更不等于对既往研究的简单复制失败。</w:t>
      </w:r>
    </w:p>
    <w:p/>
    <w:p>
      <w:pPr>
        <w:pStyle w:val="Heading2"/>
      </w:pPr>
      <w:r>
        <w:t>4.4 局限与建议</w:t>
      </w:r>
    </w:p>
    <w:p/>
    <w:p>
      <w:r>
        <w:t>- 横断面设计无法给出个体发育轨迹；</w:t>
      </w:r>
    </w:p>
    <w:p>
      <w:r>
        <w:t>- 性别比例不均衡与临床异质性可能残余混杂；</w:t>
      </w:r>
    </w:p>
    <w:p>
      <w:r>
        <w:t>- ICLabel/HAPPE/MARA 等不同清理路线会改变推断强度；</w:t>
      </w:r>
    </w:p>
    <w:p>
      <w:r>
        <w:t>- 建议后续在独立样本做预注册多管线一致性验证。</w:t>
      </w:r>
    </w:p>
    <w:p/>
    <w:p>
      <w:pPr>
        <w:pStyle w:val="Heading1"/>
      </w:pPr>
      <w:r>
        <w:t>5. 结论</w:t>
      </w:r>
    </w:p>
    <w:p/>
    <w:p>
      <w:r>
        <w:t>本研究最终稿（v9）采用“双层证据”框架：以 primary 为主结论、以 ICLabel sensitivity 为稳健性补充。当前最稳妥结论是：ASD 与 TD 在 aperiodic exponent 上存在 primary 层面的组差证据，但该证据在严格自动伪迹剔除后减弱，提示结果对预处理策略敏感，需在后续纵向与外部样本中验证。</w:t>
      </w:r>
    </w:p>
    <w:p/>
    <w:p>
      <w:pPr>
        <w:pStyle w:val="Heading1"/>
      </w:pPr>
      <w:r>
        <w:t>附：ICLabel 关键结果来源文件</w:t>
      </w:r>
    </w:p>
    <w:p/>
    <w:p>
      <w:r>
        <w:t>- `outputs/tables/iclabel_sensitivity/iclabel_main_group_analysis.csv`</w:t>
      </w:r>
    </w:p>
    <w:p>
      <w:r>
        <w:t>- `outputs/reports/iclabel_sensitivity_report.md`</w:t>
      </w:r>
    </w:p>
    <w:p>
      <w:r>
        <w:t>- `scripts/23_iclabel_artifact_sensitivity.py`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