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94" w:rsidRPr="005E1B29" w:rsidRDefault="001A7494" w:rsidP="001A7494">
      <w:pPr>
        <w:spacing w:after="0" w:line="480" w:lineRule="auto"/>
        <w:contextualSpacing/>
        <w:mirrorIndents/>
        <w:jc w:val="both"/>
        <w:rPr>
          <w:rFonts w:ascii="Arial" w:hAnsi="Arial" w:cs="Arial"/>
          <w:b/>
          <w:sz w:val="24"/>
          <w:szCs w:val="24"/>
        </w:rPr>
      </w:pPr>
      <w:r w:rsidRPr="005E1B29">
        <w:rPr>
          <w:rFonts w:ascii="Arial" w:hAnsi="Arial" w:cs="Arial"/>
          <w:b/>
          <w:sz w:val="24"/>
          <w:szCs w:val="24"/>
        </w:rPr>
        <w:t>Statistical methods</w:t>
      </w:r>
    </w:p>
    <w:p w:rsidR="0092398C" w:rsidRDefault="001A7494" w:rsidP="0092398C">
      <w:pPr>
        <w:spacing w:after="0" w:line="480" w:lineRule="auto"/>
        <w:contextualSpacing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E1B29">
        <w:rPr>
          <w:rFonts w:ascii="Arial" w:hAnsi="Arial" w:cs="Arial"/>
          <w:color w:val="000000"/>
          <w:sz w:val="24"/>
          <w:szCs w:val="24"/>
        </w:rPr>
        <w:t>Baseline descriptive statistics are reported as mean and standard</w:t>
      </w:r>
      <w:r>
        <w:rPr>
          <w:rFonts w:ascii="Arial" w:hAnsi="Arial" w:cs="Arial"/>
          <w:color w:val="000000"/>
          <w:sz w:val="24"/>
          <w:szCs w:val="24"/>
        </w:rPr>
        <w:t xml:space="preserve">.  </w:t>
      </w:r>
      <w:r w:rsidRPr="005E1B29">
        <w:rPr>
          <w:rFonts w:ascii="Arial" w:hAnsi="Arial" w:cs="Arial"/>
          <w:color w:val="000000"/>
          <w:sz w:val="24"/>
          <w:szCs w:val="24"/>
        </w:rPr>
        <w:t>The distribution of residuals was assessed by visual inspection followed by Kolmogorov Smirnoff test.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E1B29">
        <w:rPr>
          <w:rFonts w:ascii="Arial" w:hAnsi="Arial" w:cs="Arial"/>
          <w:color w:val="000000"/>
          <w:sz w:val="24"/>
          <w:szCs w:val="24"/>
        </w:rPr>
        <w:t xml:space="preserve">Between-groups analyses of baseline variables were performed using </w:t>
      </w:r>
      <w:r>
        <w:rPr>
          <w:rFonts w:ascii="Arial" w:hAnsi="Arial" w:cs="Arial"/>
          <w:color w:val="000000"/>
          <w:sz w:val="24"/>
          <w:szCs w:val="24"/>
        </w:rPr>
        <w:t>analysis of variance</w:t>
      </w:r>
      <w:r w:rsidRPr="005E1B29">
        <w:rPr>
          <w:rFonts w:ascii="Arial" w:hAnsi="Arial" w:cs="Arial"/>
          <w:color w:val="000000"/>
          <w:sz w:val="24"/>
          <w:szCs w:val="24"/>
        </w:rPr>
        <w:t xml:space="preserve"> as error residuals were normally distributed. Analyses for proportions of categorical variables were evaluated with a Chi-Square or Fisher’s </w:t>
      </w:r>
      <w:proofErr w:type="gramStart"/>
      <w:r w:rsidRPr="005E1B29">
        <w:rPr>
          <w:rFonts w:ascii="Arial" w:hAnsi="Arial" w:cs="Arial"/>
          <w:color w:val="000000"/>
          <w:sz w:val="24"/>
          <w:szCs w:val="24"/>
        </w:rPr>
        <w:t>Exact</w:t>
      </w:r>
      <w:proofErr w:type="gramEnd"/>
      <w:r w:rsidRPr="005E1B29">
        <w:rPr>
          <w:rFonts w:ascii="Arial" w:hAnsi="Arial" w:cs="Arial"/>
          <w:color w:val="000000"/>
          <w:sz w:val="24"/>
          <w:szCs w:val="24"/>
        </w:rPr>
        <w:t xml:space="preserve"> analysis as appropriate. </w:t>
      </w:r>
      <w:proofErr w:type="gramStart"/>
      <w:r w:rsidR="0092398C">
        <w:rPr>
          <w:rFonts w:ascii="Arial" w:hAnsi="Arial" w:cs="Arial"/>
          <w:color w:val="000000"/>
          <w:sz w:val="24"/>
          <w:szCs w:val="24"/>
        </w:rPr>
        <w:t>Inter-rater analyses</w:t>
      </w:r>
      <w:bookmarkStart w:id="0" w:name="_GoBack"/>
      <w:bookmarkEnd w:id="0"/>
      <w:r w:rsidR="0092398C">
        <w:rPr>
          <w:rFonts w:ascii="Arial" w:hAnsi="Arial" w:cs="Arial"/>
          <w:color w:val="000000"/>
          <w:sz w:val="24"/>
          <w:szCs w:val="24"/>
        </w:rPr>
        <w:t xml:space="preserve"> was</w:t>
      </w:r>
      <w:proofErr w:type="gramEnd"/>
      <w:r w:rsidR="0092398C">
        <w:rPr>
          <w:rFonts w:ascii="Arial" w:hAnsi="Arial" w:cs="Arial"/>
          <w:color w:val="000000"/>
          <w:sz w:val="24"/>
          <w:szCs w:val="24"/>
        </w:rPr>
        <w:t xml:space="preserve"> carried out by way of Kappa test for agreement.  </w:t>
      </w:r>
      <w:proofErr w:type="gramStart"/>
      <w:r w:rsidR="0092398C">
        <w:rPr>
          <w:rFonts w:ascii="Arial" w:hAnsi="Arial" w:cs="Arial"/>
          <w:color w:val="000000" w:themeColor="text1"/>
          <w:sz w:val="24"/>
          <w:szCs w:val="24"/>
        </w:rPr>
        <w:t>The r</w:t>
      </w:r>
      <w:r w:rsidR="0092398C" w:rsidRPr="001A7494">
        <w:rPr>
          <w:rFonts w:ascii="Arial" w:hAnsi="Arial" w:cs="Arial"/>
          <w:color w:val="000000" w:themeColor="text1"/>
          <w:sz w:val="24"/>
          <w:szCs w:val="24"/>
        </w:rPr>
        <w:t>eceiver operating characteristic</w:t>
      </w:r>
      <w:r w:rsidR="0092398C">
        <w:rPr>
          <w:rFonts w:ascii="Arial" w:hAnsi="Arial" w:cs="Arial"/>
          <w:color w:val="000000" w:themeColor="text1"/>
          <w:sz w:val="24"/>
          <w:szCs w:val="24"/>
        </w:rPr>
        <w:t xml:space="preserve"> involved c</w:t>
      </w:r>
      <w:r w:rsidR="0092398C" w:rsidRPr="001A7494">
        <w:rPr>
          <w:rFonts w:ascii="Arial" w:hAnsi="Arial" w:cs="Arial"/>
          <w:color w:val="000000" w:themeColor="text1"/>
          <w:sz w:val="24"/>
          <w:szCs w:val="24"/>
        </w:rPr>
        <w:t xml:space="preserve">ontinuous demographic and echocardiographic variables </w:t>
      </w:r>
      <w:r w:rsidR="0092398C">
        <w:rPr>
          <w:rFonts w:ascii="Arial" w:hAnsi="Arial" w:cs="Arial"/>
          <w:color w:val="000000" w:themeColor="text1"/>
          <w:sz w:val="24"/>
          <w:szCs w:val="24"/>
        </w:rPr>
        <w:t>as the independent variable while the dichotomous response variable of cardiac diagnosis was identified as the model event</w:t>
      </w:r>
      <w:r w:rsidR="0092398C" w:rsidRPr="001A7494">
        <w:rPr>
          <w:rFonts w:ascii="Arial" w:hAnsi="Arial" w:cs="Arial"/>
          <w:color w:val="000000" w:themeColor="text1"/>
          <w:sz w:val="24"/>
          <w:szCs w:val="24"/>
        </w:rPr>
        <w:t xml:space="preserve"> by way of a generalized linear logistic model</w:t>
      </w:r>
      <w:r w:rsidR="0092398C">
        <w:rPr>
          <w:rFonts w:ascii="Arial" w:hAnsi="Arial" w:cs="Arial"/>
          <w:color w:val="000000" w:themeColor="text1"/>
          <w:sz w:val="24"/>
          <w:szCs w:val="24"/>
        </w:rPr>
        <w:t xml:space="preserve"> to achieve the</w:t>
      </w:r>
      <w:r w:rsidR="0092398C" w:rsidRPr="001A7494">
        <w:rPr>
          <w:rFonts w:ascii="Arial" w:hAnsi="Arial" w:cs="Arial"/>
          <w:color w:val="000000" w:themeColor="text1"/>
          <w:sz w:val="24"/>
          <w:szCs w:val="24"/>
        </w:rPr>
        <w:t xml:space="preserve"> ROC curve analysis</w:t>
      </w:r>
      <w:r w:rsidR="0092398C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="0092398C">
        <w:rPr>
          <w:rFonts w:ascii="Arial" w:hAnsi="Arial" w:cs="Arial"/>
          <w:color w:val="000000" w:themeColor="text1"/>
          <w:sz w:val="24"/>
          <w:szCs w:val="24"/>
        </w:rPr>
        <w:t xml:space="preserve">  The ROC curve analysis yielded an</w:t>
      </w:r>
      <w:r w:rsidR="0092398C" w:rsidRPr="001A7494">
        <w:rPr>
          <w:rFonts w:ascii="Arial" w:hAnsi="Arial" w:cs="Arial"/>
          <w:color w:val="000000" w:themeColor="text1"/>
          <w:sz w:val="24"/>
          <w:szCs w:val="24"/>
        </w:rPr>
        <w:t xml:space="preserve"> optimal cut point assigned by a </w:t>
      </w:r>
      <w:proofErr w:type="spellStart"/>
      <w:r w:rsidR="0092398C" w:rsidRPr="001A7494">
        <w:rPr>
          <w:rFonts w:ascii="Arial" w:hAnsi="Arial" w:cs="Arial"/>
          <w:color w:val="000000" w:themeColor="text1"/>
          <w:sz w:val="24"/>
          <w:szCs w:val="24"/>
        </w:rPr>
        <w:t>Youden</w:t>
      </w:r>
      <w:proofErr w:type="spellEnd"/>
      <w:r w:rsidR="0092398C" w:rsidRPr="001A7494">
        <w:rPr>
          <w:rFonts w:ascii="Arial" w:hAnsi="Arial" w:cs="Arial"/>
          <w:color w:val="000000" w:themeColor="text1"/>
          <w:sz w:val="24"/>
          <w:szCs w:val="24"/>
        </w:rPr>
        <w:t xml:space="preserve"> statistic as previously described [</w:t>
      </w:r>
      <w:proofErr w:type="spellStart"/>
      <w:r w:rsidR="0092398C">
        <w:rPr>
          <w:rFonts w:ascii="Arial" w:hAnsi="Arial" w:cs="Arial"/>
          <w:color w:val="000000" w:themeColor="text1"/>
          <w:sz w:val="24"/>
          <w:szCs w:val="24"/>
        </w:rPr>
        <w:t>Youden_Source</w:t>
      </w:r>
      <w:proofErr w:type="spellEnd"/>
      <w:r w:rsidR="0092398C" w:rsidRPr="001A7494">
        <w:rPr>
          <w:rFonts w:ascii="Arial" w:hAnsi="Arial" w:cs="Arial"/>
          <w:color w:val="000000" w:themeColor="text1"/>
          <w:sz w:val="24"/>
          <w:szCs w:val="24"/>
        </w:rPr>
        <w:t xml:space="preserve">]. </w:t>
      </w:r>
    </w:p>
    <w:p w:rsidR="001A7494" w:rsidRDefault="001A7494" w:rsidP="001A7494">
      <w:pPr>
        <w:spacing w:after="0" w:line="480" w:lineRule="auto"/>
        <w:contextualSpacing/>
        <w:mirrorIndents/>
        <w:jc w:val="both"/>
        <w:rPr>
          <w:rFonts w:ascii="Arial" w:hAnsi="Arial" w:cs="Arial"/>
          <w:color w:val="000000"/>
          <w:sz w:val="24"/>
          <w:szCs w:val="24"/>
        </w:rPr>
      </w:pPr>
      <w:r w:rsidRPr="005E1B29">
        <w:rPr>
          <w:rFonts w:ascii="Arial" w:hAnsi="Arial" w:cs="Arial"/>
          <w:color w:val="000000"/>
          <w:sz w:val="24"/>
          <w:szCs w:val="24"/>
        </w:rPr>
        <w:t xml:space="preserve">Analyses were performed with </w:t>
      </w:r>
      <w:r>
        <w:rPr>
          <w:rFonts w:ascii="Arial" w:hAnsi="Arial" w:cs="Arial"/>
          <w:color w:val="000000"/>
          <w:sz w:val="24"/>
          <w:szCs w:val="24"/>
        </w:rPr>
        <w:t xml:space="preserve">statistical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software</w:t>
      </w:r>
      <w:r w:rsidR="0092398C">
        <w:rPr>
          <w:rFonts w:ascii="Arial" w:hAnsi="Arial" w:cs="Arial"/>
          <w:color w:val="000000"/>
          <w:sz w:val="24"/>
          <w:szCs w:val="24"/>
          <w:vertAlign w:val="superscript"/>
        </w:rPr>
        <w:t>(</w:t>
      </w:r>
      <w:proofErr w:type="gramEnd"/>
      <w:r w:rsidR="0092398C">
        <w:rPr>
          <w:rFonts w:ascii="Arial" w:hAnsi="Arial" w:cs="Arial"/>
          <w:color w:val="000000"/>
          <w:sz w:val="24"/>
          <w:szCs w:val="24"/>
          <w:vertAlign w:val="superscript"/>
        </w:rPr>
        <w:t>SAS)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Pr="005E1B29">
        <w:rPr>
          <w:rFonts w:ascii="Arial" w:hAnsi="Arial" w:cs="Arial"/>
          <w:color w:val="000000"/>
          <w:sz w:val="24"/>
          <w:szCs w:val="24"/>
        </w:rPr>
        <w:t>P&lt;0.05 was deemed significant.</w:t>
      </w:r>
    </w:p>
    <w:p w:rsidR="001A7494" w:rsidRDefault="001A7494" w:rsidP="001A7494">
      <w:pPr>
        <w:spacing w:after="0" w:line="480" w:lineRule="auto"/>
        <w:contextualSpacing/>
        <w:mirrorIndents/>
        <w:jc w:val="both"/>
        <w:rPr>
          <w:rFonts w:ascii="Arial" w:hAnsi="Arial" w:cs="Arial"/>
          <w:color w:val="000000"/>
          <w:sz w:val="24"/>
          <w:szCs w:val="24"/>
        </w:rPr>
      </w:pPr>
    </w:p>
    <w:p w:rsidR="001A7494" w:rsidRDefault="001A7494" w:rsidP="001A7494">
      <w:pPr>
        <w:spacing w:after="0" w:line="480" w:lineRule="auto"/>
        <w:contextualSpacing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A7494" w:rsidRDefault="001A7494" w:rsidP="001A7494">
      <w:pPr>
        <w:spacing w:after="0" w:line="480" w:lineRule="auto"/>
        <w:contextualSpacing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Youden_Source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1A7494" w:rsidRDefault="001A7494" w:rsidP="001A7494">
      <w:pPr>
        <w:spacing w:after="0" w:line="480" w:lineRule="auto"/>
        <w:contextualSpacing/>
        <w:mirrorIndents/>
        <w:jc w:val="both"/>
        <w:rPr>
          <w:noProof/>
        </w:rPr>
      </w:pPr>
      <w:r w:rsidRPr="00117BC7">
        <w:rPr>
          <w:noProof/>
        </w:rPr>
        <w:t>Schisterman EF, Perkins NJ, Liu A, Bondell H. Optimal cut-point and its corresponding Youden Index to discriminate individuals using pooled blood samples. Epidemiology 2005;16(1):73-81.</w:t>
      </w:r>
    </w:p>
    <w:p w:rsidR="0092398C" w:rsidRPr="005E1B29" w:rsidRDefault="0092398C" w:rsidP="001A7494">
      <w:pPr>
        <w:spacing w:after="0" w:line="480" w:lineRule="auto"/>
        <w:contextualSpacing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D02DD">
        <w:rPr>
          <w:rFonts w:ascii="Arial" w:hAnsi="Arial" w:cs="Arial"/>
          <w:sz w:val="24"/>
          <w:szCs w:val="24"/>
        </w:rPr>
        <w:t>SAS Institute, Cary NC, 2016</w:t>
      </w:r>
    </w:p>
    <w:sectPr w:rsidR="0092398C" w:rsidRPr="005E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94"/>
    <w:rsid w:val="001A7494"/>
    <w:rsid w:val="0092398C"/>
    <w:rsid w:val="009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4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4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Chronic Disease Research Group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Lamb</dc:creator>
  <cp:lastModifiedBy>Ken Lamb</cp:lastModifiedBy>
  <cp:revision>1</cp:revision>
  <dcterms:created xsi:type="dcterms:W3CDTF">2022-01-26T15:37:00Z</dcterms:created>
  <dcterms:modified xsi:type="dcterms:W3CDTF">2022-01-26T15:52:00Z</dcterms:modified>
</cp:coreProperties>
</file>