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标题：</w:t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预熟化芸豆热风微波联合干燥特性及数学模型研究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摘要：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为了提高芸豆的干燥品质和效率，研究了应用热风和微波联合干燥芸豆的最优工艺，采用不同干燥方式下芸豆的干燥特性和品质，并建立数学模型对芸豆水分和破损率进行预测和模拟。结果表明：</w:t>
      </w:r>
      <w:r>
        <w:rPr>
          <w:rFonts w:hint="eastAsia"/>
          <w:lang w:val="en-US" w:eastAsia="zh-CN"/>
        </w:rPr>
        <w:t>[结果待测定及整理]。热风-微波联合干燥是适合芸豆干燥较好的技术方法。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关键词：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芸豆，干燥工艺，干燥特性，热风-微波联合干燥，数学模型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前言：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芸豆学名菜豆，是普通菜豆和多花菜豆的总称，属豆科菜豆属的小宗杂粮作物，具有很高的营养价值以及药用价值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_Ref19756 \r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[1]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。经常使用有健脾壮肾的作用，是脾弱肾虚者的一级补品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_Ref21258 \r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[2]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。目前市场上芸豆相关产品主要有芸豆馅、</w:t>
      </w:r>
      <w:bookmarkStart w:id="1" w:name="_GoBack"/>
      <w:bookmarkEnd w:id="1"/>
      <w:r>
        <w:rPr>
          <w:rFonts w:hint="eastAsia"/>
          <w:lang w:val="en-US" w:eastAsia="zh-CN"/>
        </w:rPr>
        <w:t>芸豆营养粉丝以及其在雪糕、饼干、面包、八宝粥食品中作为主要食材等。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实现将芸豆作为一种与大米共煮的粗粮的商业化，需要将预熟化的芸豆进行干燥处理，达到与大米煮制时共熟的效果。以预熟化过的芸豆为原料，对其热风-微波联合干燥特性进行研究，探讨热风干燥温度、时间对预熟化过的芸豆水分以及品质的影响。同时以近现代农产品干燥数学模型为基础，对实验所得的数据进行拟合，得到预熟化过后的芸豆的热风-微波联合干燥的数学模型。为预熟化芸豆粗粮工业化生产提供理论依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试验材料、仪器设备和方法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试验材料：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紫花芸豆：松原三井子商贸有限公司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仪器设备：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压力锅：MY-13SS506A型，美的公司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数显恒温水浴锅：HH-2型，常州澳华仪器有限公司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电子天平：ES-200HA型，长沙湘平科技发展有限公司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电热恒温鼓风干燥箱：DHG-9240A型，上海精宏实验设备有限公司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微波炉：EM-L530TB型，合肥荣事达三洋电器股份有限公司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工艺流程：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芸豆-&gt;筛选-&gt;清洗-&gt;恒温浸泡-&gt;低压蒸煮-&gt;热风干燥-&gt;冷却-&gt;微波干燥-&gt;冷却-&gt;成品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芸豆预熟化：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称取300.00g芸豆，浸泡（？30）分钟，放入低压蒸煮锅中将压力调至（5kPa）进行低压蒸煮5分钟，将蒸煮过后的芸豆捞出沥干。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单独热风干燥：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称取120.00g经过预熟化过的芸豆3份，铺成薄层，分别放入电热恒温鼓风干燥箱中进行70、80、90℃的热风干燥。每隔5分钟对芸豆进行称重，同时测量芸豆的破损率，记录数据，直至含水率达到（？20%~30%）时停止干燥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单独微波干燥：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称取120.00g经过预熟化过的芸豆（？3）份，铺成薄层，分别放入微波炉中进行（？400W、600W、800W）功率下的干燥，每隔（？1）分钟对芸豆进行称重，同时测量芸豆的破损率，记录数据，直至含水率达到（？20%~30%）时停止干燥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热风和微波联合干燥：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期使用热风进行干燥，取（？100g）预熟化过的芸豆，平铺成薄层，芸豆不可以堆叠，放入电热恒温鼓风干燥箱中进行80℃的热风干燥，直至达到转换点水分（？20%）时停止，冷却，进入后期微波干燥。即将热风干燥后的芸豆放入微波炉中进行（？700W）的微波干燥，每隔30秒称芸豆质量以及表皮的破损率，直至含水率达到（？20%~30%）时停止干燥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试验指标及方法：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干基含水率测定：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47390" cy="514350"/>
            <wp:effectExtent l="0" t="0" r="1016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在本式中：</w:t>
      </w:r>
      <w:r>
        <w:drawing>
          <wp:inline distT="0" distB="0" distL="114300" distR="114300">
            <wp:extent cx="285750" cy="238125"/>
            <wp:effectExtent l="0" t="0" r="0" b="8255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为芸豆在</w:t>
      </w:r>
      <w:r>
        <w:rPr>
          <w:rFonts w:hint="eastAsia"/>
          <w:lang w:val="en-US" w:eastAsia="zh-CN"/>
        </w:rPr>
        <w:t>t时刻的含水率（%），</w:t>
      </w:r>
      <w:r>
        <w:drawing>
          <wp:inline distT="0" distB="0" distL="114300" distR="114300">
            <wp:extent cx="295275" cy="238125"/>
            <wp:effectExtent l="0" t="0" r="9525" b="8255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为芸豆的初始含水率（</w:t>
      </w:r>
      <w:r>
        <w:rPr>
          <w:rFonts w:hint="eastAsia"/>
          <w:lang w:val="en-US" w:eastAsia="zh-CN"/>
        </w:rPr>
        <w:t>%）</w:t>
      </w:r>
      <w:r>
        <w:rPr>
          <w:rFonts w:hint="eastAsia"/>
          <w:lang w:eastAsia="zh-CN"/>
        </w:rPr>
        <w:t>，</w:t>
      </w:r>
      <w:r>
        <w:drawing>
          <wp:inline distT="0" distB="0" distL="114300" distR="114300">
            <wp:extent cx="238125" cy="247650"/>
            <wp:effectExtent l="0" t="0" r="9525" b="0"/>
            <wp:docPr id="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为</w:t>
      </w:r>
      <w:r>
        <w:rPr>
          <w:rFonts w:hint="eastAsia"/>
          <w:lang w:val="en-US" w:eastAsia="zh-CN"/>
        </w:rPr>
        <w:t>t时刻芸豆的质量（g），</w:t>
      </w:r>
      <w:r>
        <w:drawing>
          <wp:inline distT="0" distB="0" distL="114300" distR="114300">
            <wp:extent cx="257175" cy="247650"/>
            <wp:effectExtent l="0" t="0" r="9525" b="0"/>
            <wp:docPr id="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为芸豆初始质量（</w:t>
      </w:r>
      <w:r>
        <w:rPr>
          <w:rFonts w:hint="eastAsia"/>
          <w:lang w:val="en-US" w:eastAsia="zh-CN"/>
        </w:rPr>
        <w:t>g），</w:t>
      </w:r>
      <w:r>
        <w:drawing>
          <wp:inline distT="0" distB="0" distL="114300" distR="114300">
            <wp:extent cx="257175" cy="276225"/>
            <wp:effectExtent l="0" t="0" r="9525" b="8255"/>
            <wp:docPr id="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为芸豆的干重。</w:t>
      </w:r>
    </w:p>
    <w:p>
      <w:pPr>
        <w:ind w:left="420" w:leftChars="0" w:firstLine="420" w:firstLineChars="0"/>
        <w:rPr>
          <w:rFonts w:hint="eastAsia"/>
          <w:lang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干燥速率测定：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1238250" cy="409575"/>
            <wp:effectExtent l="0" t="0" r="0" b="8890"/>
            <wp:docPr id="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eastAsia="微软雅黑"/>
          <w:lang w:val="en-US" w:eastAsia="zh-CN"/>
        </w:rPr>
      </w:pPr>
      <w:r>
        <w:rPr>
          <w:rFonts w:hint="eastAsia"/>
          <w:lang w:eastAsia="zh-CN"/>
        </w:rPr>
        <w:t>在本式中：</w:t>
      </w:r>
      <w:r>
        <w:rPr>
          <w:rFonts w:hint="eastAsia"/>
          <w:lang w:val="en-US" w:eastAsia="zh-CN"/>
        </w:rPr>
        <w:t>DR为干燥速率（%/min），</w:t>
      </w:r>
      <w:r>
        <w:drawing>
          <wp:inline distT="0" distB="0" distL="114300" distR="114300">
            <wp:extent cx="285750" cy="238125"/>
            <wp:effectExtent l="0" t="0" r="0" b="8255"/>
            <wp:docPr id="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为</w:t>
      </w:r>
      <w:r>
        <w:rPr>
          <w:rFonts w:hint="eastAsia"/>
          <w:lang w:val="en-US" w:eastAsia="zh-CN"/>
        </w:rPr>
        <w:t>t时刻的干基含水率（%），</w:t>
      </w:r>
      <w:r>
        <w:rPr>
          <w:rFonts w:hint="eastAsia"/>
          <w:position w:val="-6"/>
          <w:lang w:val="en-US" w:eastAsia="zh-CN"/>
        </w:rPr>
        <w:object>
          <v:shape id="_x0000_i1025" o:spt="75" type="#_x0000_t75" style="height:13.95pt;width:1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2">
            <o:LockedField>false</o:LockedField>
          </o:OLEObject>
        </w:objec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失去水分所需要的时间（min）。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水分比计算：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26" o:spt="75" type="#_x0000_t75" style="height:37pt;width:91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4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在本式中：</w:t>
      </w:r>
      <w:r>
        <w:rPr>
          <w:rFonts w:hint="eastAsia"/>
          <w:position w:val="-4"/>
          <w:lang w:val="en-US" w:eastAsia="zh-CN"/>
        </w:rPr>
        <w:object>
          <v:shape id="_x0000_i1027" o:spt="75" type="#_x0000_t75" style="height:13pt;width:2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6">
            <o:LockedField>false</o:LockedField>
          </o:OLEObject>
        </w:object>
      </w:r>
      <w:r>
        <w:rPr>
          <w:rFonts w:hint="eastAsia"/>
          <w:lang w:val="en-US" w:eastAsia="zh-CN"/>
        </w:rPr>
        <w:t>为水分比，</w:t>
      </w:r>
      <w:r>
        <w:rPr>
          <w:rFonts w:hint="eastAsia"/>
          <w:position w:val="-14"/>
          <w:lang w:val="en-US" w:eastAsia="zh-CN"/>
        </w:rPr>
        <w:object>
          <v:shape id="_x0000_i1028" o:spt="75" type="#_x0000_t75" style="height:19pt;width:23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8">
            <o:LockedField>false</o:LockedField>
          </o:OLEObject>
        </w:object>
      </w:r>
      <w:r>
        <w:rPr>
          <w:rFonts w:hint="eastAsia"/>
          <w:lang w:val="en-US" w:eastAsia="zh-CN"/>
        </w:rPr>
        <w:t>为t时刻物料干基含水率（%），</w:t>
      </w:r>
      <w:r>
        <w:rPr>
          <w:rFonts w:hint="eastAsia"/>
          <w:position w:val="-14"/>
          <w:lang w:val="en-US" w:eastAsia="zh-CN"/>
        </w:rPr>
        <w:object>
          <v:shape id="_x0000_i1029" o:spt="75" type="#_x0000_t75" style="height:19pt;width:24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20">
            <o:LockedField>false</o:LockedField>
          </o:OLEObject>
        </w:object>
      </w:r>
      <w:r>
        <w:rPr>
          <w:rFonts w:hint="eastAsia"/>
          <w:lang w:val="en-US" w:eastAsia="zh-CN"/>
        </w:rPr>
        <w:t>为初始时刻物料干基含水率（%），</w:t>
      </w:r>
      <w:r>
        <w:rPr>
          <w:rFonts w:hint="eastAsia"/>
          <w:position w:val="-14"/>
          <w:lang w:val="en-US" w:eastAsia="zh-CN"/>
        </w:rPr>
        <w:object>
          <v:shape id="_x0000_i1030" o:spt="75" type="#_x0000_t75" style="height:19pt;width:2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2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为无聊干燥平衡时的含水率（%）。由于芸豆的平衡含水率很小，在这里水分比采用了简化过的水分比，即 </w:t>
      </w:r>
      <w:r>
        <w:rPr>
          <w:rFonts w:hint="eastAsia"/>
          <w:position w:val="-32"/>
          <w:lang w:val="en-US" w:eastAsia="zh-CN"/>
        </w:rPr>
        <w:object>
          <v:shape id="_x0000_i1031" o:spt="75" type="#_x0000_t75" style="height:37pt;width:57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4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常用的描述农产品物料薄层干燥的四种模型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REF _Ref24407 \r \h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[3]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指数模型：</w:t>
      </w:r>
      <w:r>
        <w:rPr>
          <w:rFonts w:hint="eastAsia"/>
          <w:position w:val="-10"/>
          <w:lang w:val="en-US" w:eastAsia="zh-CN"/>
        </w:rPr>
        <w:object>
          <v:shape id="_x0000_i1032" o:spt="75" type="#_x0000_t75" style="height:16pt;width:8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6">
            <o:LockedField>false</o:LockedField>
          </o:OLEObject>
        </w:objec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单项扩散模型：</w:t>
      </w:r>
      <w:r>
        <w:rPr>
          <w:rFonts w:hint="eastAsia"/>
          <w:position w:val="-10"/>
          <w:lang w:val="en-US" w:eastAsia="zh-CN"/>
        </w:rPr>
        <w:object>
          <v:shape id="_x0000_i1033" o:spt="75" type="#_x0000_t75" style="height:16pt;width:92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8">
            <o:LockedField>false</o:LockedField>
          </o:OLEObject>
        </w:object>
      </w:r>
    </w:p>
    <w:p>
      <w:pPr>
        <w:ind w:left="840" w:leftChars="0" w:firstLine="420" w:firstLineChars="0"/>
        <w:rPr>
          <w:rFonts w:hint="eastAsia"/>
          <w:position w:val="-14"/>
          <w:lang w:val="en-US" w:eastAsia="zh-CN"/>
        </w:rPr>
      </w:pPr>
      <w:r>
        <w:rPr>
          <w:rFonts w:hint="eastAsia"/>
          <w:lang w:val="en-US" w:eastAsia="zh-CN"/>
        </w:rPr>
        <w:t>Page方程模型：</w:t>
      </w:r>
      <w:r>
        <w:rPr>
          <w:rFonts w:hint="eastAsia"/>
          <w:position w:val="-14"/>
          <w:lang w:val="en-US" w:eastAsia="zh-CN"/>
        </w:rPr>
        <w:object>
          <v:shape id="_x0000_i1034" o:spt="75" type="#_x0000_t75" style="height:22pt;width:85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30">
            <o:LockedField>false</o:LockedField>
          </o:OLEObject>
        </w:object>
      </w:r>
    </w:p>
    <w:p>
      <w:pPr>
        <w:ind w:left="840" w:leftChars="0" w:firstLine="420" w:firstLineChars="0"/>
        <w:rPr>
          <w:rFonts w:hint="eastAsia"/>
          <w:position w:val="-14"/>
          <w:lang w:val="en-US" w:eastAsia="zh-CN"/>
        </w:rPr>
      </w:pPr>
      <w:r>
        <w:rPr>
          <w:rFonts w:hint="eastAsia"/>
          <w:position w:val="-14"/>
          <w:lang w:val="en-US" w:eastAsia="zh-CN"/>
        </w:rPr>
        <w:t xml:space="preserve">经验模型： </w:t>
      </w:r>
      <w:r>
        <w:rPr>
          <w:rFonts w:hint="eastAsia"/>
          <w:position w:val="-10"/>
          <w:lang w:val="en-US" w:eastAsia="zh-CN"/>
        </w:rPr>
        <w:object>
          <v:shape id="_x0000_i1035" o:spt="75" type="#_x0000_t75" style="height:18pt;width:118pt;" o:ole="t" filled="f" o:preferrelative="t" stroked="f" coordsize="21600,21600"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32">
            <o:LockedField>false</o:LockedField>
          </o:OLEObject>
        </w:objec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在式中：MR为水分比，exp为指数函数，t为干燥持续时间（min），K为干燥速度常数，A为待定干燥速度系数，n为幂指数，均是与干燥条件有关的常数。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结果与分析：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结论：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张丙云, 袁亚兰, 高瑜璟,等. 芸豆蛋白的营养价值和功能特性研究[J]. 食品工业科技, 2010, 31(11):347-350.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李清泉. 芸豆的应用价值及高产栽培技术[J]. 内蒙古农业科技, 2007(4).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bookmarkStart w:id="0" w:name="_Ref24407"/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袁月明, 陈丽梅, 王鸿斌,等. 玉米丸粒化种子的薄层干燥试验及其干燥模型[J]. 农业工程学报, 2003, 19(3):169-173.</w:t>
      </w:r>
      <w:bookmarkEnd w:id="0"/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821848">
    <w:nsid w:val="5721A198"/>
    <w:multiLevelType w:val="singleLevel"/>
    <w:tmpl w:val="5721A198"/>
    <w:lvl w:ilvl="0" w:tentative="1">
      <w:start w:val="1"/>
      <w:numFmt w:val="decimal"/>
      <w:lvlText w:val="[%1]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618218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2C660C"/>
    <w:rsid w:val="188320FC"/>
    <w:rsid w:val="19115AC1"/>
    <w:rsid w:val="20FB252D"/>
    <w:rsid w:val="210F51DC"/>
    <w:rsid w:val="2A965976"/>
    <w:rsid w:val="373F2684"/>
    <w:rsid w:val="376F1EAB"/>
    <w:rsid w:val="39E830E0"/>
    <w:rsid w:val="475B20AD"/>
    <w:rsid w:val="4EFC2BE8"/>
    <w:rsid w:val="50026EEB"/>
    <w:rsid w:val="7CE03AF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Candara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customXml" Target="../customXml/item1.xml"/><Relationship Id="rId33" Type="http://schemas.openxmlformats.org/officeDocument/2006/relationships/image" Target="media/image19.wmf"/><Relationship Id="rId32" Type="http://schemas.openxmlformats.org/officeDocument/2006/relationships/oleObject" Target="embeddings/oleObject11.bin"/><Relationship Id="rId31" Type="http://schemas.openxmlformats.org/officeDocument/2006/relationships/image" Target="media/image18.wmf"/><Relationship Id="rId30" Type="http://schemas.openxmlformats.org/officeDocument/2006/relationships/oleObject" Target="embeddings/oleObject10.bin"/><Relationship Id="rId3" Type="http://schemas.openxmlformats.org/officeDocument/2006/relationships/theme" Target="theme/theme1.xml"/><Relationship Id="rId29" Type="http://schemas.openxmlformats.org/officeDocument/2006/relationships/image" Target="media/image17.wmf"/><Relationship Id="rId28" Type="http://schemas.openxmlformats.org/officeDocument/2006/relationships/oleObject" Target="embeddings/oleObject9.bin"/><Relationship Id="rId27" Type="http://schemas.openxmlformats.org/officeDocument/2006/relationships/image" Target="media/image16.wmf"/><Relationship Id="rId26" Type="http://schemas.openxmlformats.org/officeDocument/2006/relationships/oleObject" Target="embeddings/oleObject8.bin"/><Relationship Id="rId25" Type="http://schemas.openxmlformats.org/officeDocument/2006/relationships/image" Target="media/image15.wmf"/><Relationship Id="rId24" Type="http://schemas.openxmlformats.org/officeDocument/2006/relationships/oleObject" Target="embeddings/oleObject7.bin"/><Relationship Id="rId23" Type="http://schemas.openxmlformats.org/officeDocument/2006/relationships/image" Target="media/image14.wmf"/><Relationship Id="rId22" Type="http://schemas.openxmlformats.org/officeDocument/2006/relationships/oleObject" Target="embeddings/oleObject6.bin"/><Relationship Id="rId21" Type="http://schemas.openxmlformats.org/officeDocument/2006/relationships/image" Target="media/image13.wmf"/><Relationship Id="rId20" Type="http://schemas.openxmlformats.org/officeDocument/2006/relationships/oleObject" Target="embeddings/oleObject5.bin"/><Relationship Id="rId2" Type="http://schemas.openxmlformats.org/officeDocument/2006/relationships/settings" Target="settings.xml"/><Relationship Id="rId19" Type="http://schemas.openxmlformats.org/officeDocument/2006/relationships/image" Target="media/image12.wmf"/><Relationship Id="rId18" Type="http://schemas.openxmlformats.org/officeDocument/2006/relationships/oleObject" Target="embeddings/oleObject4.bin"/><Relationship Id="rId17" Type="http://schemas.openxmlformats.org/officeDocument/2006/relationships/image" Target="media/image11.wmf"/><Relationship Id="rId16" Type="http://schemas.openxmlformats.org/officeDocument/2006/relationships/oleObject" Target="embeddings/oleObject3.bin"/><Relationship Id="rId15" Type="http://schemas.openxmlformats.org/officeDocument/2006/relationships/image" Target="media/image10.wmf"/><Relationship Id="rId14" Type="http://schemas.openxmlformats.org/officeDocument/2006/relationships/oleObject" Target="embeddings/oleObject2.bin"/><Relationship Id="rId13" Type="http://schemas.openxmlformats.org/officeDocument/2006/relationships/image" Target="media/image9.wmf"/><Relationship Id="rId12" Type="http://schemas.openxmlformats.org/officeDocument/2006/relationships/oleObject" Target="embeddings/oleObject1.bin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2016-05-01T14:26:45Z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