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134E17">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134E17">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134E17">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134E17">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134E17">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134E17">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134E17">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134E17">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134E17">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134E17">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134E17">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134E17">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 xml:space="preserve">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w:t>
      </w:r>
      <w:r w:rsidRPr="00FB3624">
        <w:rPr>
          <w:rFonts w:ascii="Arial" w:hAnsi="Arial" w:cs="Arial"/>
          <w:color w:val="C00000"/>
          <w:lang w:val="de-DE"/>
        </w:rPr>
        <w:lastRenderedPageBreak/>
        <w:t>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w:t>
      </w:r>
      <w:r>
        <w:rPr>
          <w:rFonts w:ascii="Arial" w:eastAsiaTheme="minorHAnsi" w:hAnsi="Arial" w:cs="Arial"/>
          <w:noProof/>
          <w:lang w:val="en-GB" w:eastAsia="en-US"/>
        </w:rPr>
        <w:lastRenderedPageBreak/>
        <w:t xml:space="preserve">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Beschriftung"/>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753D75" w:rsidRDefault="006A0D6F" w:rsidP="006A0D6F">
      <w:pPr>
        <w:spacing w:line="360" w:lineRule="auto"/>
        <w:jc w:val="both"/>
        <w:rPr>
          <w:rFonts w:ascii="Arial" w:hAnsi="Arial" w:cs="Arial"/>
          <w:color w:val="000000" w:themeColor="text1"/>
          <w:lang w:val="en-GB"/>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77777777" w:rsidR="006A0D6F" w:rsidRPr="002D7C2F" w:rsidRDefault="006A0D6F"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134E17"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w:t>
      </w:r>
      <w:r w:rsidRPr="00E94881">
        <w:rPr>
          <w:rFonts w:ascii="Arial" w:eastAsiaTheme="minorHAnsi" w:hAnsi="Arial" w:cs="Arial"/>
          <w:noProof/>
          <w:color w:val="FF0000"/>
          <w:lang w:val="en-US" w:eastAsia="en-US"/>
        </w:rPr>
        <w:lastRenderedPageBreak/>
        <w:t>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134E17"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134E17"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websites, which were initially not fully welcomed by the community as it went against </w:t>
      </w:r>
      <w:r>
        <w:rPr>
          <w:rFonts w:ascii="Arial" w:hAnsi="Arial" w:cs="Arial"/>
        </w:rPr>
        <w:lastRenderedPageBreak/>
        <w:t>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134E17"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w:t>
      </w:r>
      <w:r w:rsidRPr="008912DC">
        <w:rPr>
          <w:rFonts w:ascii="Arial" w:hAnsi="Arial" w:cs="Arial"/>
          <w:color w:val="FF0000"/>
        </w:rPr>
        <w:lastRenderedPageBreak/>
        <w:t>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w:t>
      </w:r>
      <w:r w:rsidR="00970D9B">
        <w:rPr>
          <w:rFonts w:ascii="Arial" w:hAnsi="Arial" w:cs="Arial"/>
        </w:rPr>
        <w:lastRenderedPageBreak/>
        <w:t>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 xml:space="preserve">Is </w:t>
      </w:r>
      <w:r w:rsidR="009A672D">
        <w:rPr>
          <w:rFonts w:ascii="Arial" w:hAnsi="Arial" w:cs="Arial"/>
          <w:i/>
          <w:iCs/>
          <w:color w:val="000000" w:themeColor="text1"/>
          <w:highlight w:val="yellow"/>
        </w:rPr>
        <w:lastRenderedPageBreak/>
        <w:t>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lastRenderedPageBreak/>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B3809AE" w:rsidR="00F966BB" w:rsidRDefault="000D2FD2" w:rsidP="00F55A70">
      <w:pPr>
        <w:pStyle w:val="Beschriftung"/>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48664A3D" w:rsidR="000E3646" w:rsidRPr="001F78EA" w:rsidRDefault="00B34D57" w:rsidP="003A3A6D">
      <w:pPr>
        <w:pStyle w:val="Beschriftung"/>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 xml:space="preserve">By varying different key words, for example by adding “firm”, “industry” and “project” the results often includes non-relevant papers in our </w:t>
      </w:r>
      <w:r w:rsidR="001803DC">
        <w:rPr>
          <w:rFonts w:ascii="Arial" w:hAnsi="Arial" w:cs="Arial"/>
          <w:color w:val="000000" w:themeColor="text1"/>
        </w:rPr>
        <w:lastRenderedPageBreak/>
        <w:t>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lastRenderedPageBreak/>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071A8935" w:rsidR="00FE5548" w:rsidRDefault="00050FBB" w:rsidP="00050FBB">
      <w:pPr>
        <w:pStyle w:val="Beschriftung"/>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lastRenderedPageBreak/>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t>
      </w:r>
      <w:r w:rsidRPr="00A5339C">
        <w:rPr>
          <w:rFonts w:ascii="Arial" w:hAnsi="Arial" w:cs="Arial"/>
        </w:rPr>
        <w:lastRenderedPageBreak/>
        <w:t>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 xml:space="preserve">Getting involved in an OSS project often starts from the mailing list [von </w:t>
      </w:r>
      <w:r w:rsidRPr="00C315A6">
        <w:rPr>
          <w:rFonts w:ascii="Arial" w:eastAsiaTheme="minorHAnsi" w:hAnsi="Arial" w:cs="Arial"/>
          <w:noProof/>
          <w:color w:val="FF0000"/>
          <w:lang w:val="en-US" w:eastAsia="en-US"/>
        </w:rPr>
        <w:lastRenderedPageBreak/>
        <w:t>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123FFCB0" w:rsidR="00467302" w:rsidRDefault="00176B1C" w:rsidP="00EA67A8">
      <w:pPr>
        <w:pStyle w:val="Beschriftung"/>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77777777" w:rsidR="00EA67A8" w:rsidRDefault="00EA67A8" w:rsidP="00EA67A8">
      <w:pPr>
        <w:pStyle w:val="Beschriftung"/>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 xml:space="preserve">C3: Business Opportunity: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Pr="00753D75" w:rsidRDefault="00CF0225" w:rsidP="00CF0225">
      <w:pPr>
        <w:spacing w:line="360" w:lineRule="auto"/>
        <w:jc w:val="both"/>
        <w:rPr>
          <w:rFonts w:ascii="Arial" w:hAnsi="Arial" w:cs="Arial"/>
          <w:color w:val="C00000"/>
          <w:lang w:val="en-GB"/>
        </w:rPr>
      </w:pPr>
      <w:r w:rsidRPr="00753D75">
        <w:rPr>
          <w:rFonts w:ascii="Arial" w:hAnsi="Arial" w:cs="Arial"/>
          <w:color w:val="C00000"/>
          <w:lang w:val="en-GB"/>
        </w:rPr>
        <w:t>React profit genauso begründen!</w:t>
      </w:r>
    </w:p>
    <w:p w14:paraId="36FA09C9" w14:textId="77777777" w:rsidR="00732122" w:rsidRPr="00753D75" w:rsidRDefault="00732122" w:rsidP="00732122">
      <w:pPr>
        <w:spacing w:line="360" w:lineRule="auto"/>
        <w:jc w:val="both"/>
        <w:rPr>
          <w:rFonts w:ascii="Arial" w:hAnsi="Arial" w:cs="Arial"/>
          <w:color w:val="C00000"/>
          <w:lang w:val="en-GB"/>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w:t>
      </w:r>
      <w:r w:rsidR="00FB3624" w:rsidRPr="00FB3624">
        <w:rPr>
          <w:rFonts w:ascii="Arial" w:hAnsi="Arial" w:cs="Arial"/>
          <w:color w:val="C00000"/>
          <w:lang w:val="de-DE"/>
        </w:rPr>
        <w:lastRenderedPageBreak/>
        <w:t>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 xml:space="preserve">(15), 28. </w:t>
      </w:r>
      <w:r w:rsidRPr="00FF3013">
        <w:rPr>
          <w:rFonts w:ascii="Times New Roman" w:hAnsi="Times New Roman" w:cs="Times New Roman"/>
        </w:rPr>
        <w:lastRenderedPageBreak/>
        <w:t>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F2B63" w14:textId="77777777" w:rsidR="00134E17" w:rsidRDefault="00134E17" w:rsidP="005470F6">
      <w:r>
        <w:separator/>
      </w:r>
    </w:p>
  </w:endnote>
  <w:endnote w:type="continuationSeparator" w:id="0">
    <w:p w14:paraId="639B5437" w14:textId="77777777" w:rsidR="00134E17" w:rsidRDefault="00134E17"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FF0B8" w14:textId="77777777" w:rsidR="00134E17" w:rsidRDefault="00134E17" w:rsidP="005470F6">
      <w:r>
        <w:separator/>
      </w:r>
    </w:p>
  </w:footnote>
  <w:footnote w:type="continuationSeparator" w:id="0">
    <w:p w14:paraId="3721C38D" w14:textId="77777777" w:rsidR="00134E17" w:rsidRDefault="00134E17"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34E17"/>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20539</Words>
  <Characters>129401</Characters>
  <Application>Microsoft Office Word</Application>
  <DocSecurity>0</DocSecurity>
  <Lines>1078</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336</cp:revision>
  <dcterms:created xsi:type="dcterms:W3CDTF">2020-12-22T19:19:00Z</dcterms:created>
  <dcterms:modified xsi:type="dcterms:W3CDTF">2021-01-16T21:23:00Z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