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 по лабораторной работе №10</w:t>
      </w:r>
    </w:p>
    <w:p>
      <w:pPr>
        <w:pStyle w:val="Subtitle"/>
      </w:pPr>
      <w:r>
        <w:t xml:space="preserve">Работа с файлами средствами Nasm.</w:t>
      </w:r>
    </w:p>
    <w:p>
      <w:pPr>
        <w:pStyle w:val="Author"/>
      </w:pPr>
      <w:r>
        <w:t xml:space="preserve">сибомана ламек 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p>
      <w:pPr>
        <w:pStyle w:val="BodyText"/>
      </w:pPr>
      <w:r>
        <w:t xml:space="preserve">#Содержание отчёта</w:t>
      </w:r>
    </w:p>
    <w:p>
      <w:pPr>
        <w:pStyle w:val="BodyText"/>
      </w:pPr>
      <w:r>
        <w:t xml:space="preserve">Отчёт должен включать:</w:t>
      </w:r>
      <w:r>
        <w:t xml:space="preserve"> </w:t>
      </w:r>
      <w:r>
        <w:t xml:space="preserve">• Титульный лист с указанием номера лабораторной работы и ФИО студента.</w:t>
      </w:r>
      <w:r>
        <w:t xml:space="preserve"> </w:t>
      </w:r>
      <w:r>
        <w:t xml:space="preserve">• Формулировка цели работы.</w:t>
      </w:r>
      <w:r>
        <w:t xml:space="preserve"> </w:t>
      </w:r>
      <w:r>
        <w:t xml:space="preserve">• Описание результатов выполнения лабораторной работы:</w:t>
      </w:r>
      <w:r>
        <w:t xml:space="preserve"> </w:t>
      </w:r>
      <w:r>
        <w:t xml:space="preserve">– описание выполняемого задания;</w:t>
      </w:r>
      <w:r>
        <w:t xml:space="preserve"> </w:t>
      </w:r>
      <w:r>
        <w:t xml:space="preserve">– скриншоты (снимки экрана), фиксирующие выполнение заданий лабораторной</w:t>
      </w:r>
      <w:r>
        <w:t xml:space="preserve"> </w:t>
      </w:r>
      <w:r>
        <w:t xml:space="preserve">работы;</w:t>
      </w:r>
      <w:r>
        <w:t xml:space="preserve"> </w:t>
      </w:r>
      <w:r>
        <w:t xml:space="preserve">– комментарии и выводы по результатам выполнения заданий.</w:t>
      </w:r>
      <w:r>
        <w:t xml:space="preserve"> </w:t>
      </w:r>
      <w:r>
        <w:t xml:space="preserve">• Описание результатов выполнения заданий для самостоятельной работы:</w:t>
      </w:r>
      <w:r>
        <w:t xml:space="preserve"> </w:t>
      </w:r>
      <w:r>
        <w:t xml:space="preserve">– описание выполняемого задания;</w:t>
      </w:r>
      <w:r>
        <w:t xml:space="preserve"> </w:t>
      </w:r>
      <w:r>
        <w:t xml:space="preserve">– скриншоты (снимки экрана), фиксирующие выполнение заданий;</w:t>
      </w:r>
      <w:r>
        <w:t xml:space="preserve"> </w:t>
      </w:r>
      <w:r>
        <w:t xml:space="preserve">– комментарии и выводы по результатам выполнения заданий;</w:t>
      </w:r>
      <w:r>
        <w:t xml:space="preserve"> </w:t>
      </w:r>
      <w:r>
        <w:t xml:space="preserve">– листинги написанных программ (текст программ).</w:t>
      </w:r>
      <w:r>
        <w:t xml:space="preserve"> </w:t>
      </w:r>
      <w:r>
        <w:t xml:space="preserve">• Выводы, согласованные с целью работы.</w:t>
      </w:r>
      <w:r>
        <w:t xml:space="preserve"> </w:t>
      </w:r>
      <w:r>
        <w:t xml:space="preserve">Отчёт по выполнению лабораторной работы оформляется в формате Markdown. В качестве</w:t>
      </w:r>
      <w:r>
        <w:t xml:space="preserve"> </w:t>
      </w:r>
      <w:r>
        <w:t xml:space="preserve">отчёта необходимо предоставить отчёты в 3 форматах: pdf, docx и md. А также файлы с</w:t>
      </w:r>
      <w:r>
        <w:t xml:space="preserve"> </w:t>
      </w:r>
      <w:r>
        <w:t xml:space="preserve">исходными текстами написанных при выполнении лабораторной работы программ (файлы</w:t>
      </w:r>
      <w:r>
        <w:t xml:space="preserve"> </w:t>
      </w:r>
      <w:r>
        <w:t xml:space="preserve">*.asm). Файлы необходимо загрузить на странице курса в ТУИС в задание к соответствующей</w:t>
      </w:r>
      <w:r>
        <w:t xml:space="preserve"> </w:t>
      </w:r>
      <w:r>
        <w:t xml:space="preserve">лабораторной работе и загрузить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(рис. fig. 1).</w:t>
      </w:r>
    </w:p>
    <w:bookmarkStart w:id="25" w:name="fig:001"/>
    <w:p>
      <w:pPr>
        <w:pStyle w:val="CaptionedFigure"/>
      </w:pPr>
      <w:r>
        <w:drawing>
          <wp:inline>
            <wp:extent cx="3733800" cy="556298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Открываем файл в Midnight Commander и заполняем его в соответствии с листингом 10.1 (рис. fig. 2).</w:t>
      </w:r>
    </w:p>
    <w:bookmarkStart w:id="29" w:name="fig:002"/>
    <w:p>
      <w:pPr>
        <w:pStyle w:val="CaptionedFigure"/>
      </w:pPr>
      <w:r>
        <w:drawing>
          <wp:inline>
            <wp:extent cx="3733800" cy="4423116"/>
            <wp:effectExtent b="0" l="0" r="0" t="0"/>
            <wp:docPr descr="Рис. 2: текст программ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программа</w:t>
      </w:r>
    </w:p>
    <w:bookmarkEnd w:id="29"/>
    <w:p>
      <w:pPr>
        <w:pStyle w:val="BodyText"/>
      </w:pPr>
      <w:r>
        <w:t xml:space="preserve">Создаем исполняемый файл и запускаем его (рис. fig. 3).</w:t>
      </w:r>
    </w:p>
    <w:bookmarkStart w:id="33" w:name="fig:003"/>
    <w:p>
      <w:pPr>
        <w:pStyle w:val="CaptionedFigure"/>
      </w:pPr>
      <w:r>
        <w:drawing>
          <wp:inline>
            <wp:extent cx="3733800" cy="534057"/>
            <wp:effectExtent b="0" l="0" r="0" t="0"/>
            <wp:docPr descr="Рис. 3: запуск программ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программа</w:t>
      </w:r>
    </w:p>
    <w:bookmarkEnd w:id="33"/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fig. 4).</w:t>
      </w:r>
    </w:p>
    <w:bookmarkStart w:id="37" w:name="fig:004"/>
    <w:p>
      <w:pPr>
        <w:pStyle w:val="CaptionedFigure"/>
      </w:pPr>
      <w:r>
        <w:drawing>
          <wp:inline>
            <wp:extent cx="3733800" cy="756386"/>
            <wp:effectExtent b="0" l="0" r="0" t="0"/>
            <wp:docPr descr="Рис. 4: изменение права к даступу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права к даступу</w:t>
      </w:r>
    </w:p>
    <w:bookmarkEnd w:id="37"/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fig. 5).</w:t>
      </w:r>
    </w:p>
    <w:bookmarkStart w:id="41" w:name="fig:005"/>
    <w:p>
      <w:pPr>
        <w:pStyle w:val="CaptionedFigure"/>
      </w:pPr>
      <w:r>
        <w:drawing>
          <wp:inline>
            <wp:extent cx="3733800" cy="4123988"/>
            <wp:effectExtent b="0" l="0" r="0" t="0"/>
            <wp:docPr descr="Рис. 5: ещё изменение права к даступу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ещё изменение права к даступу</w:t>
      </w:r>
    </w:p>
    <w:bookmarkEnd w:id="41"/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5</w:t>
      </w:r>
    </w:p>
    <w:p>
      <w:pPr>
        <w:pStyle w:val="BodyText"/>
      </w:pPr>
      <w:r>
        <w:t xml:space="preserve">Предоставляем права доступа к 2ум файлам, согласно варианту 5 в символьном и двоичном виде, затем проверяем работу команд. (рис. fig. 6).</w:t>
      </w:r>
    </w:p>
    <w:bookmarkStart w:id="45" w:name="fig:006"/>
    <w:p>
      <w:pPr>
        <w:pStyle w:val="CaptionedFigure"/>
      </w:pPr>
      <w:r>
        <w:drawing>
          <wp:inline>
            <wp:extent cx="3733800" cy="1396929"/>
            <wp:effectExtent b="0" l="0" r="0" t="0"/>
            <wp:docPr descr="Рис. 6: запуск доступа к варианту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доступа к варианту</w:t>
      </w:r>
    </w:p>
    <w:bookmarkEnd w:id="45"/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Создаем новый файл (рис. fig. 7).</w:t>
      </w:r>
      <w:r>
        <w:t xml:space="preserve"> </w:t>
      </w:r>
      <w:r>
        <w:t xml:space="preserve">Создаем файл командой touch</w:t>
      </w:r>
    </w:p>
    <w:bookmarkStart w:id="49" w:name="fig:007"/>
    <w:p>
      <w:pPr>
        <w:pStyle w:val="CaptionedFigure"/>
      </w:pPr>
      <w:r>
        <w:drawing>
          <wp:inline>
            <wp:extent cx="3733800" cy="302045"/>
            <wp:effectExtent b="0" l="0" r="0" t="0"/>
            <wp:docPr descr="Рис. 7: создание каталог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</w:t>
      </w:r>
    </w:p>
    <w:bookmarkEnd w:id="49"/>
    <w:p>
      <w:pPr>
        <w:pStyle w:val="BodyText"/>
      </w:pPr>
      <w:r>
        <w:t xml:space="preserve">Пишем программу, которая выполнит представленный список действий (рис. fig. 8).</w:t>
      </w:r>
    </w:p>
    <w:bookmarkStart w:id="53" w:name="fig:008"/>
    <w:p>
      <w:pPr>
        <w:pStyle w:val="CaptionedFigure"/>
      </w:pPr>
      <w:r>
        <w:drawing>
          <wp:inline>
            <wp:extent cx="3733800" cy="4423116"/>
            <wp:effectExtent b="0" l="0" r="0" t="0"/>
            <wp:docPr descr="Рис. 8: текст программ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программа</w:t>
      </w:r>
    </w:p>
    <w:bookmarkEnd w:id="53"/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 fig. 9).</w:t>
      </w:r>
    </w:p>
    <w:bookmarkStart w:id="57" w:name="fig:009"/>
    <w:p>
      <w:pPr>
        <w:pStyle w:val="CaptionedFigure"/>
      </w:pPr>
      <w:r>
        <w:drawing>
          <wp:inline>
            <wp:extent cx="3733800" cy="1147780"/>
            <wp:effectExtent b="0" l="0" r="0" t="0"/>
            <wp:docPr descr="Рис. 9: запуск программ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программа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№10</dc:title>
  <dc:creator>сибомана ламек НКАбд-03-24</dc:creator>
  <dc:language>ru-RU</dc:language>
  <cp:keywords/>
  <dcterms:created xsi:type="dcterms:W3CDTF">2024-12-13T14:02:34Z</dcterms:created>
  <dcterms:modified xsi:type="dcterms:W3CDTF">2024-12-13T14:02:34Z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