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Naming Conventions</w:t>
      </w:r>
    </w:p>
    <w:p>
      <w:pPr>
        <w:spacing w:after="100"/>
      </w:pPr>
      <w:r>
        <w:t xml:space="preserve">Shop360Bike Medallion Data Warehouse</w:t>
      </w:r>
    </w:p>
    <w:p>
      <w:pPr>
        <w:spacing w:after="400"/>
      </w:pPr>
      <w:r>
        <w:t xml:space="preserve">Microsoft SQL Server  |  Olamide Akanni</w:t>
      </w:r>
    </w:p>
    <w:p>
      <w:pPr>
        <w:spacing w:after="400"/>
      </w:pPr>
      <w:r>
        <w:t xml:space="preserve">This document explains how we name schemas, tables, views, columns, procedures, and script files across the warehouse. It covers the conventions we actually use and notes three places where we've made deliberate exceptions.</w:t>
      </w:r>
    </w:p>
    <w:p>
      <w:pPr>
        <w:pStyle w:val="Heading2"/>
        <w:spacing w:after="200" w:before="200"/>
      </w:pPr>
      <w:r>
        <w:t xml:space="preserve">General Principles</w:t>
      </w:r>
    </w:p>
    <w:p>
      <w:pPr>
        <w:pStyle w:val="ListParagraph"/>
        <w:numPr>
          <w:ilvl w:val="0"/>
          <w:numId w:val="1"/>
        </w:numPr>
        <w:spacing w:after="100"/>
      </w:pPr>
      <w:r>
        <w:t xml:space="preserve">Case: snake_case throughout. Lowercase with underscores between words.</w:t>
      </w:r>
    </w:p>
    <w:p>
      <w:pPr>
        <w:pStyle w:val="ListParagraph"/>
        <w:numPr>
          <w:ilvl w:val="0"/>
          <w:numId w:val="1"/>
        </w:numPr>
        <w:spacing w:after="100"/>
      </w:pPr>
      <w:r>
        <w:t xml:space="preserve">Language: English for all object names.</w:t>
      </w:r>
    </w:p>
    <w:p>
      <w:pPr>
        <w:pStyle w:val="ListParagraph"/>
        <w:numPr>
          <w:ilvl w:val="0"/>
          <w:numId w:val="1"/>
        </w:numPr>
        <w:spacing w:after="100"/>
      </w:pPr>
      <w:r>
        <w:t xml:space="preserve">Reserved words: never used as object names.</w:t>
      </w:r>
    </w:p>
    <w:p>
      <w:pPr>
        <w:pStyle w:val="ListParagraph"/>
        <w:numPr>
          <w:ilvl w:val="0"/>
          <w:numId w:val="1"/>
        </w:numPr>
        <w:spacing w:after="100"/>
      </w:pPr>
      <w:r>
        <w:t xml:space="preserve">Abbreviations: kept out of table and column names, but used in procedure names (layer prefixes shortened to brz and slv).</w:t>
      </w:r>
    </w:p>
    <w:p>
      <w:pPr>
        <w:pStyle w:val="ListParagraph"/>
        <w:numPr>
          <w:ilvl w:val="0"/>
          <w:numId w:val="1"/>
        </w:numPr>
        <w:spacing w:after="300"/>
      </w:pPr>
      <w:r>
        <w:t xml:space="preserve">Plurality: dimensions and facts use the plural form of the business entity, like dim_customers.</w:t>
      </w:r>
    </w:p>
    <w:p>
      <w:pPr>
        <w:pStyle w:val="Heading2"/>
        <w:spacing w:after="200" w:before="200"/>
      </w:pPr>
      <w:r>
        <w:t xml:space="preserve">Schema Naming</w:t>
      </w:r>
    </w:p>
    <w:p>
      <w:pPr>
        <w:spacing w:after="200"/>
      </w:pPr>
      <w:r>
        <w:t xml:space="preserve">Four schemas, one for each medallion layer plus an orchestration layer: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2000"/>
      </w:tblGrid>
      <w:tr>
        <w:tc>
          <w:tcPr>
            <w:tcW w:type="dxa" w:w="1500"/>
          </w:tcPr>
          <w:p>
            <w:r>
              <w:t xml:space="preserve">Schema</w:t>
            </w:r>
          </w:p>
        </w:tc>
        <w:tc>
          <w:tcPr>
            <w:tcW w:type="dxa" w:w="3500"/>
          </w:tcPr>
          <w:p>
            <w:r>
              <w:t xml:space="preserve">Purpose</w:t>
            </w:r>
          </w:p>
        </w:tc>
        <w:tc>
          <w:tcPr>
            <w:tcW w:type="dxa" w:w="2000"/>
          </w:tcPr>
          <w:p>
            <w:r>
              <w:t xml:space="preserve">Contains</w:t>
            </w:r>
          </w:p>
        </w:tc>
      </w:tr>
      <w:tr>
        <w:tc>
          <w:tcPr>
            <w:tcW w:type="dxa" w:w="1500"/>
          </w:tcPr>
          <w:p>
            <w:r>
              <w:t xml:space="preserve">bronze</w:t>
            </w:r>
          </w:p>
        </w:tc>
        <w:tc>
          <w:tcPr>
            <w:tcW w:type="dxa" w:w="3500"/>
          </w:tcPr>
          <w:p>
            <w:r>
              <w:t xml:space="preserve">Raw data exactly as received from the source</w:t>
            </w:r>
          </w:p>
        </w:tc>
        <w:tc>
          <w:tcPr>
            <w:tcW w:type="dxa" w:w="2000"/>
          </w:tcPr>
          <w:p>
            <w:r>
              <w:t xml:space="preserve">Tables and load procedures</w:t>
            </w:r>
          </w:p>
        </w:tc>
      </w:tr>
      <w:tr>
        <w:tc>
          <w:tcPr>
            <w:tcW w:type="dxa" w:w="1500"/>
          </w:tcPr>
          <w:p>
            <w:r>
              <w:t xml:space="preserve">silver</w:t>
            </w:r>
          </w:p>
        </w:tc>
        <w:tc>
          <w:tcPr>
            <w:tcW w:type="dxa" w:w="3500"/>
          </w:tcPr>
          <w:p>
            <w:r>
              <w:t xml:space="preserve">Cleansed and standardized data</w:t>
            </w:r>
          </w:p>
        </w:tc>
        <w:tc>
          <w:tcPr>
            <w:tcW w:type="dxa" w:w="2000"/>
          </w:tcPr>
          <w:p>
            <w:r>
              <w:t xml:space="preserve">Tables and load procedures</w:t>
            </w:r>
          </w:p>
        </w:tc>
      </w:tr>
      <w:tr>
        <w:tc>
          <w:tcPr>
            <w:tcW w:type="dxa" w:w="1500"/>
          </w:tcPr>
          <w:p>
            <w:r>
              <w:t xml:space="preserve">gold</w:t>
            </w:r>
          </w:p>
        </w:tc>
        <w:tc>
          <w:tcPr>
            <w:tcW w:type="dxa" w:w="3500"/>
          </w:tcPr>
          <w:p>
            <w:r>
              <w:t xml:space="preserve">Business-ready star schema</w:t>
            </w:r>
          </w:p>
        </w:tc>
        <w:tc>
          <w:tcPr>
            <w:tcW w:type="dxa" w:w="2000"/>
          </w:tcPr>
          <w:p>
            <w:r>
              <w:t xml:space="preserve">Views and one generated table</w:t>
            </w:r>
          </w:p>
        </w:tc>
      </w:tr>
      <w:tr>
        <w:tc>
          <w:tcPr>
            <w:tcW w:type="dxa" w:w="1500"/>
          </w:tcPr>
          <w:p>
            <w:r>
              <w:t xml:space="preserve">dbo</w:t>
            </w:r>
          </w:p>
        </w:tc>
        <w:tc>
          <w:tcPr>
            <w:tcW w:type="dxa" w:w="3500"/>
          </w:tcPr>
          <w:p>
            <w:r>
              <w:t xml:space="preserve">Pipeline orchestration and logging</w:t>
            </w:r>
          </w:p>
        </w:tc>
        <w:tc>
          <w:tcPr>
            <w:tcW w:type="dxa" w:w="2000"/>
          </w:tcPr>
          <w:p>
            <w:r>
              <w:t xml:space="preserve">Tables and procedures</w:t>
            </w:r>
          </w:p>
        </w:tc>
      </w:tr>
    </w:tbl>
    <w:p>
      <w:pPr>
        <w:spacing w:after="300" w:before="200"/>
      </w:pPr>
      <w:r>
        <w:t xml:space="preserve">We use dbo for orchestration rather than a separate schema because logging needs to touch all layers. It sits outside the medallion pattern and is used by all of them.</w:t>
      </w:r>
    </w:p>
    <w:p>
      <w:pPr>
        <w:pStyle w:val="Heading2"/>
        <w:spacing w:after="200" w:before="200"/>
      </w:pPr>
      <w:r>
        <w:t xml:space="preserve">Table Naming Conventions</w:t>
      </w:r>
    </w:p>
    <w:p>
      <w:pPr>
        <w:pStyle w:val="Heading3"/>
        <w:spacing w:after="100" w:before="100"/>
      </w:pPr>
      <w:r>
        <w:t xml:space="preserve">Bronze Layer</w:t>
      </w:r>
    </w:p>
    <w:p>
      <w:pPr>
        <w:spacing w:after="100"/>
      </w:pPr>
      <w:r>
        <w:t xml:space="preserve">Bronze tables preserve the original source system name followed by the table name, unchanged. This keeps the answer to "what did the source send us?" always visible in the schema.</w:t>
      </w:r>
    </w:p>
    <w:p>
      <w:pPr>
        <w:spacing w:after="200"/>
      </w:pPr>
      <w:r>
        <w:t xml:space="preserve">Pattern: &lt;source_system&gt;_&lt;entity&gt;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tcPr>
          <w:p>
            <w:r>
              <w:t xml:space="preserve">Table</w:t>
            </w:r>
          </w:p>
        </w:tc>
        <w:tc>
          <w:tcPr>
            <w:tcW w:type="dxa" w:w="2000"/>
          </w:tcPr>
          <w:p>
            <w:r>
              <w:t xml:space="preserve">Source</w:t>
            </w:r>
          </w:p>
        </w:tc>
        <w:tc>
          <w:tcPr>
            <w:tcW w:type="dxa" w:w="2000"/>
          </w:tcPr>
          <w:p>
            <w:r>
              <w:t xml:space="preserve">Original Name</w:t>
            </w:r>
          </w:p>
        </w:tc>
      </w:tr>
      <w:tr>
        <w:tc>
          <w:tcPr>
            <w:tcW w:type="dxa" w:w="2000"/>
          </w:tcPr>
          <w:p>
            <w:r>
              <w:t xml:space="preserve">crm_cust_info</w:t>
            </w:r>
          </w:p>
        </w:tc>
        <w:tc>
          <w:tcPr>
            <w:tcW w:type="dxa" w:w="2000"/>
          </w:tcPr>
          <w:p>
            <w:r>
              <w:t xml:space="preserve">CRM (CSV)</w:t>
            </w:r>
          </w:p>
        </w:tc>
        <w:tc>
          <w:tcPr>
            <w:tcW w:type="dxa" w:w="2000"/>
          </w:tcPr>
          <w:p>
            <w:r>
              <w:t xml:space="preserve">cust_info.csv</w:t>
            </w:r>
          </w:p>
        </w:tc>
      </w:tr>
      <w:tr>
        <w:tc>
          <w:tcPr>
            <w:tcW w:type="dxa" w:w="2000"/>
          </w:tcPr>
          <w:p>
            <w:r>
              <w:t xml:space="preserve">crm_prd_info</w:t>
            </w:r>
          </w:p>
        </w:tc>
        <w:tc>
          <w:tcPr>
            <w:tcW w:type="dxa" w:w="2000"/>
          </w:tcPr>
          <w:p>
            <w:r>
              <w:t xml:space="preserve">CRM (CSV)</w:t>
            </w:r>
          </w:p>
        </w:tc>
        <w:tc>
          <w:tcPr>
            <w:tcW w:type="dxa" w:w="2000"/>
          </w:tcPr>
          <w:p>
            <w:r>
              <w:t xml:space="preserve">prd_info.csv</w:t>
            </w:r>
          </w:p>
        </w:tc>
      </w:tr>
      <w:tr>
        <w:tc>
          <w:tcPr>
            <w:tcW w:type="dxa" w:w="2000"/>
          </w:tcPr>
          <w:p>
            <w:r>
              <w:t xml:space="preserve">crm_sales_details</w:t>
            </w:r>
          </w:p>
        </w:tc>
        <w:tc>
          <w:tcPr>
            <w:tcW w:type="dxa" w:w="2000"/>
          </w:tcPr>
          <w:p>
            <w:r>
              <w:t xml:space="preserve">CRM (CSV)</w:t>
            </w:r>
          </w:p>
        </w:tc>
        <w:tc>
          <w:tcPr>
            <w:tcW w:type="dxa" w:w="2000"/>
          </w:tcPr>
          <w:p>
            <w:r>
              <w:t xml:space="preserve">sales_details.csv</w:t>
            </w:r>
          </w:p>
        </w:tc>
      </w:tr>
      <w:tr>
        <w:tc>
          <w:tcPr>
            <w:tcW w:type="dxa" w:w="2000"/>
          </w:tcPr>
          <w:p>
            <w:r>
              <w:t xml:space="preserve">erp_cust_az12</w:t>
            </w:r>
          </w:p>
        </w:tc>
        <w:tc>
          <w:tcPr>
            <w:tcW w:type="dxa" w:w="2000"/>
          </w:tcPr>
          <w:p>
            <w:r>
              <w:t xml:space="preserve">ERP (CSV)</w:t>
            </w:r>
          </w:p>
        </w:tc>
        <w:tc>
          <w:tcPr>
            <w:tcW w:type="dxa" w:w="2000"/>
          </w:tcPr>
          <w:p>
            <w:r>
              <w:t xml:space="preserve">CUST_AZ12.csv</w:t>
            </w:r>
          </w:p>
        </w:tc>
      </w:tr>
      <w:tr>
        <w:tc>
          <w:tcPr>
            <w:tcW w:type="dxa" w:w="2000"/>
          </w:tcPr>
          <w:p>
            <w:r>
              <w:t xml:space="preserve">erp_loc_a101</w:t>
            </w:r>
          </w:p>
        </w:tc>
        <w:tc>
          <w:tcPr>
            <w:tcW w:type="dxa" w:w="2000"/>
          </w:tcPr>
          <w:p>
            <w:r>
              <w:t xml:space="preserve">ERP (CSV)</w:t>
            </w:r>
          </w:p>
        </w:tc>
        <w:tc>
          <w:tcPr>
            <w:tcW w:type="dxa" w:w="2000"/>
          </w:tcPr>
          <w:p>
            <w:r>
              <w:t xml:space="preserve">LOC_A101.csv</w:t>
            </w:r>
          </w:p>
        </w:tc>
      </w:tr>
      <w:tr>
        <w:tc>
          <w:tcPr>
            <w:tcW w:type="dxa" w:w="2000"/>
          </w:tcPr>
          <w:p>
            <w:r>
              <w:t xml:space="preserve">erp_px_cat_g1v2</w:t>
            </w:r>
          </w:p>
        </w:tc>
        <w:tc>
          <w:tcPr>
            <w:tcW w:type="dxa" w:w="2000"/>
          </w:tcPr>
          <w:p>
            <w:r>
              <w:t xml:space="preserve">ERP (CSV)</w:t>
            </w:r>
          </w:p>
        </w:tc>
        <w:tc>
          <w:tcPr>
            <w:tcW w:type="dxa" w:w="2000"/>
          </w:tcPr>
          <w:p>
            <w:r>
              <w:t xml:space="preserve">PX_CAT_G1V2.csv</w:t>
            </w:r>
          </w:p>
        </w:tc>
      </w:tr>
      <w:tr>
        <w:tc>
          <w:tcPr>
            <w:tcW w:type="dxa" w:w="2000"/>
          </w:tcPr>
          <w:p>
            <w:r>
              <w:t xml:space="preserve">inventory</w:t>
            </w:r>
          </w:p>
        </w:tc>
        <w:tc>
          <w:tcPr>
            <w:tcW w:type="dxa" w:w="2000"/>
          </w:tcPr>
          <w:p>
            <w:r>
              <w:t xml:space="preserve">BikeShopOLTP</w:t>
            </w:r>
          </w:p>
        </w:tc>
        <w:tc>
          <w:tcPr>
            <w:tcW w:type="dxa" w:w="2000"/>
          </w:tcPr>
          <w:p>
            <w:r>
              <w:t xml:space="preserve">dbo.inventory</w:t>
            </w:r>
          </w:p>
        </w:tc>
      </w:tr>
      <w:tr>
        <w:tc>
          <w:tcPr>
            <w:tcW w:type="dxa" w:w="2000"/>
          </w:tcPr>
          <w:p>
            <w:r>
              <w:t xml:space="preserve">fx_rates</w:t>
            </w:r>
          </w:p>
        </w:tc>
        <w:tc>
          <w:tcPr>
            <w:tcW w:type="dxa" w:w="2000"/>
          </w:tcPr>
          <w:p>
            <w:r>
              <w:t xml:space="preserve">exchangerate-api.com</w:t>
            </w:r>
          </w:p>
        </w:tc>
        <w:tc>
          <w:tcPr>
            <w:tcW w:type="dxa" w:w="2000"/>
          </w:tcPr>
          <w:p>
            <w:r>
              <w:t xml:space="preserve">REST response</w:t>
            </w:r>
          </w:p>
        </w:tc>
      </w:tr>
      <w:tr>
        <w:tc>
          <w:tcPr>
            <w:tcW w:type="dxa" w:w="2000"/>
          </w:tcPr>
          <w:p>
            <w:r>
              <w:t xml:space="preserve">web_events</w:t>
            </w:r>
          </w:p>
        </w:tc>
        <w:tc>
          <w:tcPr>
            <w:tcW w:type="dxa" w:w="2000"/>
          </w:tcPr>
          <w:p>
            <w:r>
              <w:t xml:space="preserve">Clickstream</w:t>
            </w:r>
          </w:p>
        </w:tc>
        <w:tc>
          <w:tcPr>
            <w:tcW w:type="dxa" w:w="2000"/>
          </w:tcPr>
          <w:p>
            <w:r>
              <w:t xml:space="preserve">Generated events</w:t>
            </w:r>
          </w:p>
        </w:tc>
      </w:tr>
    </w:tbl>
    <w:p>
      <w:pPr>
        <w:spacing w:after="300" w:before="200"/>
      </w:pPr>
      <w:r>
        <w:t xml:space="preserve">Exception 1: The last three tables have no source prefix. By strict convention they'd be oltp_inventory, api_fx_rates, and web_web_events. We dropped the prefix because each source contributes exactly one table, making the prefix unnecessary noise, and web_web_events just looks wrong.</w:t>
      </w:r>
    </w:p>
    <w:p>
      <w:pPr>
        <w:pStyle w:val="Heading3"/>
        <w:spacing w:after="100" w:before="100"/>
      </w:pPr>
      <w:r>
        <w:t xml:space="preserve">Silver Layer</w:t>
      </w:r>
    </w:p>
    <w:p>
      <w:pPr>
        <w:spacing w:after="300"/>
      </w:pPr>
      <w:r>
        <w:t xml:space="preserve">Silver mirrors bronze exactly, using the same names. This makes the lineage from bronze to silver obvious and lets you trace a transformation by comparing two tables with the same name in different schemas. Renaming happens only when we reach gold, where source-style names become business-style names.</w:t>
      </w:r>
    </w:p>
    <w:p>
      <w:pPr>
        <w:pStyle w:val="Heading3"/>
        <w:spacing w:after="100" w:before="100"/>
      </w:pPr>
      <w:r>
        <w:t xml:space="preserve">Gold Layer</w:t>
      </w:r>
    </w:p>
    <w:p>
      <w:pPr>
        <w:spacing w:after="100"/>
      </w:pPr>
      <w:r>
        <w:t xml:space="preserve">Gold names are business-facing and use a prefix describing what the object does in the model.</w:t>
      </w:r>
    </w:p>
    <w:p>
      <w:pPr>
        <w:spacing w:after="200"/>
      </w:pPr>
      <w:r>
        <w:t xml:space="preserve">Pattern: &lt;category&gt;_&lt;business_entity&gt;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300"/>
      </w:tblGrid>
      <w:tr>
        <w:tc>
          <w:tcPr>
            <w:tcW w:type="dxa" w:w="1200"/>
          </w:tcPr>
          <w:p>
            <w:r>
              <w:t xml:space="preserve">Prefix</w:t>
            </w:r>
          </w:p>
        </w:tc>
        <w:tc>
          <w:tcPr>
            <w:tcW w:type="dxa" w:w="2000"/>
          </w:tcPr>
          <w:p>
            <w:r>
              <w:t xml:space="preserve">Meaning</w:t>
            </w:r>
          </w:p>
        </w:tc>
        <w:tc>
          <w:tcPr>
            <w:tcW w:type="dxa" w:w="3300"/>
          </w:tcPr>
          <w:p>
            <w:r>
              <w:t xml:space="preserve">Examples</w:t>
            </w:r>
          </w:p>
        </w:tc>
      </w:tr>
      <w:tr>
        <w:tc>
          <w:tcPr>
            <w:tcW w:type="dxa" w:w="1200"/>
          </w:tcPr>
          <w:p>
            <w:r>
              <w:t xml:space="preserve">dim_</w:t>
            </w:r>
          </w:p>
        </w:tc>
        <w:tc>
          <w:tcPr>
            <w:tcW w:type="dxa" w:w="2000"/>
          </w:tcPr>
          <w:p>
            <w:r>
              <w:t xml:space="preserve">Dimension</w:t>
            </w:r>
          </w:p>
        </w:tc>
        <w:tc>
          <w:tcPr>
            <w:tcW w:type="dxa" w:w="3300"/>
          </w:tcPr>
          <w:p>
            <w:r>
              <w:t xml:space="preserve">dim_customers, dim_products, dim_currency, dim_date</w:t>
            </w:r>
          </w:p>
        </w:tc>
      </w:tr>
      <w:tr>
        <w:tc>
          <w:tcPr>
            <w:tcW w:type="dxa" w:w="1200"/>
          </w:tcPr>
          <w:p>
            <w:r>
              <w:t xml:space="preserve">fact_</w:t>
            </w:r>
          </w:p>
        </w:tc>
        <w:tc>
          <w:tcPr>
            <w:tcW w:type="dxa" w:w="2000"/>
          </w:tcPr>
          <w:p>
            <w:r>
              <w:t xml:space="preserve">Fact table</w:t>
            </w:r>
          </w:p>
        </w:tc>
        <w:tc>
          <w:tcPr>
            <w:tcW w:type="dxa" w:w="3300"/>
          </w:tcPr>
          <w:p>
            <w:r>
              <w:t xml:space="preserve">fact_sales, fact_inventory, fact_fx_rates</w:t>
            </w:r>
          </w:p>
        </w:tc>
      </w:tr>
      <w:tr>
        <w:tc>
          <w:tcPr>
            <w:tcW w:type="dxa" w:w="1200"/>
          </w:tcPr>
          <w:p>
            <w:r>
              <w:t xml:space="preserve">vw_</w:t>
            </w:r>
          </w:p>
        </w:tc>
        <w:tc>
          <w:tcPr>
            <w:tcW w:type="dxa" w:w="2000"/>
          </w:tcPr>
          <w:p>
            <w:r>
              <w:t xml:space="preserve">Helper view</w:t>
            </w:r>
          </w:p>
        </w:tc>
        <w:tc>
          <w:tcPr>
            <w:tcW w:type="dxa" w:w="3300"/>
          </w:tcPr>
          <w:p>
            <w:r>
              <w:t xml:space="preserve">vw_fx_rates_readable</w:t>
            </w:r>
          </w:p>
        </w:tc>
      </w:tr>
      <w:tr>
        <w:tc>
          <w:tcPr>
            <w:tcW w:type="dxa" w:w="1200"/>
          </w:tcPr>
          <w:p>
            <w:r>
              <w:t xml:space="preserve">report_</w:t>
            </w:r>
          </w:p>
        </w:tc>
        <w:tc>
          <w:tcPr>
            <w:tcW w:type="dxa" w:w="2000"/>
          </w:tcPr>
          <w:p>
            <w:r>
              <w:t xml:space="preserve">Pre-aggregated report table</w:t>
            </w:r>
          </w:p>
        </w:tc>
        <w:tc>
          <w:tcPr>
            <w:tcW w:type="dxa" w:w="3300"/>
          </w:tcPr>
          <w:p>
            <w:r>
              <w:t xml:space="preserve">(not yet used)</w:t>
            </w:r>
          </w:p>
        </w:tc>
      </w:tr>
    </w:tbl>
    <w:p>
      <w:pPr>
        <w:spacing w:after="100" w:before="200"/>
      </w:pPr>
      <w:r>
        <w:t xml:space="preserve">Exception 2: We added the vw_ prefix as a fourth category. It marks objects in gold that sit outside the star schema, like vw_fx_rates_readable which exposes FX rates with currency codes instead of surrogate keys for ad-hoc queries. This keeps the star schema unambiguous.</w:t>
      </w:r>
    </w:p>
    <w:p>
      <w:pPr>
        <w:spacing w:after="300"/>
      </w:pPr>
      <w:r>
        <w:t xml:space="preserve">Note: dim_date and dim_currency are both singular (not plural). dim_date follows universal convention, and dim_currency sounds better than dim_currencies with its ISO code reference.</w:t>
      </w:r>
    </w:p>
    <w:p>
      <w:pPr>
        <w:pStyle w:val="Heading2"/>
        <w:spacing w:after="200" w:before="200"/>
      </w:pPr>
      <w:r>
        <w:t xml:space="preserve">Column Naming Conventions</w:t>
      </w:r>
    </w:p>
    <w:p>
      <w:pPr>
        <w:pStyle w:val="Heading3"/>
        <w:spacing w:after="100" w:before="100"/>
      </w:pPr>
      <w:r>
        <w:t xml:space="preserve">Surrogate Keys</w:t>
      </w:r>
    </w:p>
    <w:p>
      <w:pPr>
        <w:spacing w:after="100"/>
      </w:pPr>
      <w:r>
        <w:t xml:space="preserve">Every dimension primary key uses the _key suffix and is generated in gold with ROW_NUMBER(). Facts reference the surrogate key, never the source ID, so changes to a source's numbering scheme can't break warehouse relationships.</w:t>
      </w:r>
    </w:p>
    <w:p>
      <w:pPr>
        <w:spacing w:after="200"/>
      </w:pPr>
      <w:r>
        <w:t xml:space="preserve">Pattern: &lt;entity&gt;_key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tcPr>
          <w:p>
            <w:r>
              <w:t xml:space="preserve">Column</w:t>
            </w:r>
          </w:p>
        </w:tc>
        <w:tc>
          <w:tcPr>
            <w:tcW w:type="dxa" w:w="2000"/>
          </w:tcPr>
          <w:p>
            <w:r>
              <w:t xml:space="preserve">Defined In</w:t>
            </w:r>
          </w:p>
        </w:tc>
        <w:tc>
          <w:tcPr>
            <w:tcW w:type="dxa" w:w="2000"/>
          </w:tcPr>
          <w:p>
            <w:r>
              <w:t xml:space="preserve">Used By</w:t>
            </w:r>
          </w:p>
        </w:tc>
      </w:tr>
      <w:tr>
        <w:tc>
          <w:tcPr>
            <w:tcW w:type="dxa" w:w="2000"/>
          </w:tcPr>
          <w:p>
            <w:r>
              <w:t xml:space="preserve">customer_key</w:t>
            </w:r>
          </w:p>
        </w:tc>
        <w:tc>
          <w:tcPr>
            <w:tcW w:type="dxa" w:w="2000"/>
          </w:tcPr>
          <w:p>
            <w:r>
              <w:t xml:space="preserve">dim_customers</w:t>
            </w:r>
          </w:p>
        </w:tc>
        <w:tc>
          <w:tcPr>
            <w:tcW w:type="dxa" w:w="2000"/>
          </w:tcPr>
          <w:p>
            <w:r>
              <w:t xml:space="preserve">fact_sales, fact_web_events</w:t>
            </w:r>
          </w:p>
        </w:tc>
      </w:tr>
      <w:tr>
        <w:tc>
          <w:tcPr>
            <w:tcW w:type="dxa" w:w="2000"/>
          </w:tcPr>
          <w:p>
            <w:r>
              <w:t xml:space="preserve">product_key</w:t>
            </w:r>
          </w:p>
        </w:tc>
        <w:tc>
          <w:tcPr>
            <w:tcW w:type="dxa" w:w="2000"/>
          </w:tcPr>
          <w:p>
            <w:r>
              <w:t xml:space="preserve">dim_products</w:t>
            </w:r>
          </w:p>
        </w:tc>
        <w:tc>
          <w:tcPr>
            <w:tcW w:type="dxa" w:w="2000"/>
          </w:tcPr>
          <w:p>
            <w:r>
              <w:t xml:space="preserve">fact_sales, fact_inventory</w:t>
            </w:r>
          </w:p>
        </w:tc>
      </w:tr>
      <w:tr>
        <w:tc>
          <w:tcPr>
            <w:tcW w:type="dxa" w:w="2000"/>
          </w:tcPr>
          <w:p>
            <w:r>
              <w:t xml:space="preserve">currency_key</w:t>
            </w:r>
          </w:p>
        </w:tc>
        <w:tc>
          <w:tcPr>
            <w:tcW w:type="dxa" w:w="2000"/>
          </w:tcPr>
          <w:p>
            <w:r>
              <w:t xml:space="preserve">dim_currency</w:t>
            </w:r>
          </w:p>
        </w:tc>
        <w:tc>
          <w:tcPr>
            <w:tcW w:type="dxa" w:w="2000"/>
          </w:tcPr>
          <w:p>
            <w:r>
              <w:t xml:space="preserve">fact_fx_rates (twice)</w:t>
            </w:r>
          </w:p>
        </w:tc>
      </w:tr>
      <w:tr>
        <w:tc>
          <w:tcPr>
            <w:tcW w:type="dxa" w:w="2000"/>
          </w:tcPr>
          <w:p>
            <w:r>
              <w:t xml:space="preserve">date_key</w:t>
            </w:r>
          </w:p>
        </w:tc>
        <w:tc>
          <w:tcPr>
            <w:tcW w:type="dxa" w:w="2000"/>
          </w:tcPr>
          <w:p>
            <w:r>
              <w:t xml:space="preserve">dim_date</w:t>
            </w:r>
          </w:p>
        </w:tc>
        <w:tc>
          <w:tcPr>
            <w:tcW w:type="dxa" w:w="2000"/>
          </w:tcPr>
          <w:p>
            <w:r>
              <w:t xml:space="preserve">fact_inventory, fact_fx_rates</w:t>
            </w:r>
          </w:p>
        </w:tc>
      </w:tr>
    </w:tbl>
    <w:p>
      <w:pPr>
        <w:spacing w:after="100" w:before="200"/>
      </w:pPr>
      <w:r>
        <w:t xml:space="preserve">When a fact table references the same dimension in multiple roles, the key name includes the role. For example, fact_fx_rates has base_currency_key and target_currency_key, both pointing to dim_currency.</w:t>
      </w:r>
    </w:p>
    <w:p>
      <w:pPr>
        <w:spacing w:after="300"/>
      </w:pPr>
      <w:r>
        <w:t xml:space="preserve">Exception 3: fact_sales uses actual DATE values (order_date, shipping_date, due_date) instead of integer date keys. It joins dim_date on full_date rather than date_key. This breaks the surrogate key pattern used by the other facts, and we've added creating those keys to the roadmap.</w:t>
      </w:r>
    </w:p>
    <w:p>
      <w:pPr>
        <w:pStyle w:val="Heading3"/>
        <w:spacing w:after="100" w:before="100"/>
      </w:pPr>
      <w:r>
        <w:t xml:space="preserve">Natural Keys</w:t>
      </w:r>
    </w:p>
    <w:p>
      <w:pPr>
        <w:spacing w:after="300"/>
      </w:pPr>
      <w:r>
        <w:t xml:space="preserve">When a dimension includes the source system identifier, the column keeps its original name with no suffix. dim_customers has customer_key alongside customer_id; dim_products has product_key, product_id, and product_number. No suffix means it's a natural key.</w:t>
      </w:r>
    </w:p>
    <w:p>
      <w:pPr>
        <w:pStyle w:val="Heading3"/>
        <w:spacing w:after="100" w:before="100"/>
      </w:pPr>
      <w:r>
        <w:t xml:space="preserve">Business Columns</w:t>
      </w:r>
    </w:p>
    <w:p>
      <w:pPr>
        <w:pStyle w:val="ListParagraph"/>
        <w:numPr>
          <w:ilvl w:val="0"/>
          <w:numId w:val="1"/>
        </w:numPr>
        <w:spacing w:after="100"/>
      </w:pPr>
      <w:r>
        <w:t xml:space="preserve">Named for what the business calls them, not the source. cst_firstname in silver becomes first_name in gold.</w:t>
      </w:r>
    </w:p>
    <w:p>
      <w:pPr>
        <w:pStyle w:val="ListParagraph"/>
        <w:numPr>
          <w:ilvl w:val="0"/>
          <w:numId w:val="1"/>
        </w:numPr>
        <w:spacing w:after="100"/>
      </w:pPr>
      <w:r>
        <w:t xml:space="preserve">No source system abbreviations in gold. Prefixes like cst_, prd_, and sls_ are dropped at the gold boundary.</w:t>
      </w:r>
    </w:p>
    <w:p>
      <w:pPr>
        <w:pStyle w:val="ListParagraph"/>
        <w:numPr>
          <w:ilvl w:val="0"/>
          <w:numId w:val="1"/>
        </w:numPr>
        <w:spacing w:after="100"/>
      </w:pPr>
      <w:r>
        <w:t xml:space="preserve">Boolean columns get the is_ prefix: is_weekend.</w:t>
      </w:r>
    </w:p>
    <w:p>
      <w:pPr>
        <w:pStyle w:val="ListParagraph"/>
        <w:numPr>
          <w:ilvl w:val="0"/>
          <w:numId w:val="1"/>
        </w:numPr>
        <w:spacing w:after="300"/>
      </w:pPr>
      <w:r>
        <w:t xml:space="preserve">Dates use the _date suffix (full_date is the exception, named for its role as the complete date alongside date_key).</w:t>
      </w:r>
    </w:p>
    <w:p>
      <w:pPr>
        <w:pStyle w:val="Heading3"/>
        <w:spacing w:after="100" w:before="100"/>
      </w:pPr>
      <w:r>
        <w:t xml:space="preserve">Technical Columns</w:t>
      </w:r>
    </w:p>
    <w:p>
      <w:pPr>
        <w:spacing w:after="100"/>
      </w:pPr>
      <w:r>
        <w:t xml:space="preserve">System-generated metadata uses the dwh_ prefix to keep technical columns separate from business 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3000"/>
      </w:tblGrid>
      <w:tr>
        <w:tc>
          <w:tcPr>
            <w:tcW w:type="dxa" w:w="1500"/>
          </w:tcPr>
          <w:p>
            <w:r>
              <w:t xml:space="preserve">Column</w:t>
            </w:r>
          </w:p>
        </w:tc>
        <w:tc>
          <w:tcPr>
            <w:tcW w:type="dxa" w:w="2000"/>
          </w:tcPr>
          <w:p>
            <w:r>
              <w:t xml:space="preserve">Type</w:t>
            </w:r>
          </w:p>
        </w:tc>
        <w:tc>
          <w:tcPr>
            <w:tcW w:type="dxa" w:w="3000"/>
          </w:tcPr>
          <w:p>
            <w:r>
              <w:t xml:space="preserve">Purpose</w:t>
            </w:r>
          </w:p>
        </w:tc>
      </w:tr>
      <w:tr>
        <w:tc>
          <w:tcPr>
            <w:tcW w:type="dxa" w:w="1500"/>
          </w:tcPr>
          <w:p>
            <w:r>
              <w:t xml:space="preserve">dwh_create_date</w:t>
            </w:r>
          </w:p>
        </w:tc>
        <w:tc>
          <w:tcPr>
            <w:tcW w:type="dxa" w:w="2000"/>
          </w:tcPr>
          <w:p>
            <w:r>
              <w:t xml:space="preserve">DATETIME2</w:t>
            </w:r>
          </w:p>
        </w:tc>
        <w:tc>
          <w:tcPr>
            <w:tcW w:type="dxa" w:w="3000"/>
          </w:tcPr>
          <w:p>
            <w:r>
              <w:t xml:space="preserve">Timestamp when the row was loaded into silver. On all silver tables.</w:t>
            </w:r>
          </w:p>
        </w:tc>
      </w:tr>
    </w:tbl>
    <w:p>
      <w:pPr>
        <w:spacing w:after="300"/>
      </w:pPr>
    </w:p>
    <w:p>
      <w:pPr>
        <w:pStyle w:val="Heading2"/>
        <w:spacing w:after="200" w:before="200"/>
      </w:pPr>
      <w:r>
        <w:t xml:space="preserve">Stored Procedure Naming</w:t>
      </w:r>
    </w:p>
    <w:p>
      <w:pPr>
        <w:pStyle w:val="Heading3"/>
        <w:spacing w:after="100" w:before="100"/>
      </w:pPr>
      <w:r>
        <w:t xml:space="preserve">Layer Batch Loaders</w:t>
      </w:r>
    </w:p>
    <w:p>
      <w:pPr>
        <w:spacing w:after="100"/>
      </w:pPr>
      <w:r>
        <w:t xml:space="preserve">Pattern: load_&lt;layer&gt;</w:t>
      </w:r>
    </w:p>
    <w:p>
      <w:pPr>
        <w:spacing w:after="200"/>
      </w:pPr>
      <w:r>
        <w:t xml:space="preserve">Loads every table in a layer that comes in the CRM and ERP batch.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tblGrid>
      <w:tr>
        <w:tc>
          <w:tcPr>
            <w:tcW w:type="dxa" w:w="2500"/>
          </w:tcPr>
          <w:p>
            <w:r>
              <w:t xml:space="preserve">Procedure</w:t>
            </w:r>
          </w:p>
        </w:tc>
        <w:tc>
          <w:tcPr>
            <w:tcW w:type="dxa" w:w="3500"/>
          </w:tcPr>
          <w:p>
            <w:r>
              <w:t xml:space="preserve">Loads</w:t>
            </w:r>
          </w:p>
        </w:tc>
      </w:tr>
      <w:tr>
        <w:tc>
          <w:tcPr>
            <w:tcW w:type="dxa" w:w="2500"/>
          </w:tcPr>
          <w:p>
            <w:r>
              <w:t xml:space="preserve">load_bronze</w:t>
            </w:r>
          </w:p>
        </w:tc>
        <w:tc>
          <w:tcPr>
            <w:tcW w:type="dxa" w:w="3500"/>
          </w:tcPr>
          <w:p>
            <w:r>
              <w:t xml:space="preserve">All six CRM and ERP tables from CSV</w:t>
            </w:r>
          </w:p>
        </w:tc>
      </w:tr>
      <w:tr>
        <w:tc>
          <w:tcPr>
            <w:tcW w:type="dxa" w:w="2500"/>
          </w:tcPr>
          <w:p>
            <w:r>
              <w:t xml:space="preserve">load_silver</w:t>
            </w:r>
          </w:p>
        </w:tc>
        <w:tc>
          <w:tcPr>
            <w:tcW w:type="dxa" w:w="3500"/>
          </w:tcPr>
          <w:p>
            <w:r>
              <w:t xml:space="preserve">All six CRM and ERP tables from bronze</w:t>
            </w:r>
          </w:p>
        </w:tc>
      </w:tr>
    </w:tbl>
    <w:p>
      <w:pPr>
        <w:spacing w:after="300"/>
      </w:pPr>
    </w:p>
    <w:p>
      <w:pPr>
        <w:pStyle w:val="Heading3"/>
        <w:spacing w:after="100" w:before="100"/>
      </w:pPr>
      <w:r>
        <w:t xml:space="preserve">Per-Source Loaders</w:t>
      </w:r>
    </w:p>
    <w:p>
      <w:pPr>
        <w:spacing w:after="100"/>
      </w:pPr>
      <w:r>
        <w:t xml:space="preserve">Pattern: load_&lt;layer_abbrev&gt;_&lt;entity&gt;</w:t>
      </w:r>
    </w:p>
    <w:p>
      <w:pPr>
        <w:spacing w:after="200"/>
      </w:pPr>
      <w:r>
        <w:t xml:space="preserve">Loads a single source arriving outside the CSV batch. We abbreviate the layer to brz or slv to keep names readable.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tblGrid>
      <w:tr>
        <w:tc>
          <w:tcPr>
            <w:tcW w:type="dxa" w:w="2500"/>
          </w:tcPr>
          <w:p>
            <w:r>
              <w:t xml:space="preserve">Procedure</w:t>
            </w:r>
          </w:p>
        </w:tc>
        <w:tc>
          <w:tcPr>
            <w:tcW w:type="dxa" w:w="3500"/>
          </w:tcPr>
          <w:p>
            <w:r>
              <w:t xml:space="preserve">Loads</w:t>
            </w:r>
          </w:p>
        </w:tc>
      </w:tr>
      <w:tr>
        <w:tc>
          <w:tcPr>
            <w:tcW w:type="dxa" w:w="2500"/>
          </w:tcPr>
          <w:p>
            <w:r>
              <w:t xml:space="preserve">load_brz_inventory</w:t>
            </w:r>
          </w:p>
        </w:tc>
        <w:tc>
          <w:tcPr>
            <w:tcW w:type="dxa" w:w="3500"/>
          </w:tcPr>
          <w:p>
            <w:r>
              <w:t xml:space="preserve">Stock snapshots from BikeShopOLTP</w:t>
            </w:r>
          </w:p>
        </w:tc>
      </w:tr>
      <w:tr>
        <w:tc>
          <w:tcPr>
            <w:tcW w:type="dxa" w:w="2500"/>
          </w:tcPr>
          <w:p>
            <w:r>
              <w:t xml:space="preserve">load_slv_inventory</w:t>
            </w:r>
          </w:p>
        </w:tc>
        <w:tc>
          <w:tcPr>
            <w:tcW w:type="dxa" w:w="3500"/>
          </w:tcPr>
          <w:p>
            <w:r>
              <w:t xml:space="preserve">Stock snapshots from bronze</w:t>
            </w:r>
          </w:p>
        </w:tc>
      </w:tr>
      <w:tr>
        <w:tc>
          <w:tcPr>
            <w:tcW w:type="dxa" w:w="2500"/>
          </w:tcPr>
          <w:p>
            <w:r>
              <w:t xml:space="preserve">load_slv_fx_rates</w:t>
            </w:r>
          </w:p>
        </w:tc>
        <w:tc>
          <w:tcPr>
            <w:tcW w:type="dxa" w:w="3500"/>
          </w:tcPr>
          <w:p>
            <w:r>
              <w:t xml:space="preserve">Exchange rates from bronze</w:t>
            </w:r>
          </w:p>
        </w:tc>
      </w:tr>
      <w:tr>
        <w:tc>
          <w:tcPr>
            <w:tcW w:type="dxa" w:w="2500"/>
          </w:tcPr>
          <w:p>
            <w:r>
              <w:t xml:space="preserve">load_slv_web_events</w:t>
            </w:r>
          </w:p>
        </w:tc>
        <w:tc>
          <w:tcPr>
            <w:tcW w:type="dxa" w:w="3500"/>
          </w:tcPr>
          <w:p>
            <w:r>
              <w:t xml:space="preserve">Clickstream events from bronze</w:t>
            </w:r>
          </w:p>
        </w:tc>
      </w:tr>
    </w:tbl>
    <w:p>
      <w:pPr>
        <w:spacing w:after="300" w:before="200"/>
      </w:pPr>
      <w:r>
        <w:t xml:space="preserve">We use abbreviations because load_bronze_inventory reads awkwardly next to load_bronze, and dropping the layer entirely gives two procedures called load_inventory in different schemas. Abbreviating is the cleanest option, but it means these two patterns aren't interchangeable.</w:t>
      </w:r>
    </w:p>
    <w:p>
      <w:pPr>
        <w:pStyle w:val="Heading3"/>
        <w:spacing w:after="100" w:before="100"/>
      </w:pPr>
      <w:r>
        <w:t xml:space="preserve">Orchestration Procedures</w:t>
      </w:r>
    </w:p>
    <w:p>
      <w:pPr>
        <w:spacing w:after="200"/>
      </w:pPr>
      <w:r>
        <w:t xml:space="preserve">Orchestration procedures are verb phrases describing what they do. They don't load anything themselves, so load_ would be misleading.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tblGrid>
      <w:tr>
        <w:tc>
          <w:tcPr>
            <w:tcW w:type="dxa" w:w="2500"/>
          </w:tcPr>
          <w:p>
            <w:r>
              <w:t xml:space="preserve">Procedure</w:t>
            </w:r>
          </w:p>
        </w:tc>
        <w:tc>
          <w:tcPr>
            <w:tcW w:type="dxa" w:w="3500"/>
          </w:tcPr>
          <w:p>
            <w:r>
              <w:t xml:space="preserve">Does</w:t>
            </w:r>
          </w:p>
        </w:tc>
      </w:tr>
      <w:tr>
        <w:tc>
          <w:tcPr>
            <w:tcW w:type="dxa" w:w="2500"/>
          </w:tcPr>
          <w:p>
            <w:r>
              <w:t xml:space="preserve">log_and_run</w:t>
            </w:r>
          </w:p>
        </w:tc>
        <w:tc>
          <w:tcPr>
            <w:tcW w:type="dxa" w:w="3500"/>
          </w:tcPr>
          <w:p>
            <w:r>
              <w:t xml:space="preserve">Executes a procedure, times it, and logs the result</w:t>
            </w:r>
          </w:p>
        </w:tc>
      </w:tr>
      <w:tr>
        <w:tc>
          <w:tcPr>
            <w:tcW w:type="dxa" w:w="2500"/>
          </w:tcPr>
          <w:p>
            <w:r>
              <w:t xml:space="preserve">run_full_pipeline</w:t>
            </w:r>
          </w:p>
        </w:tc>
        <w:tc>
          <w:tcPr>
            <w:tcW w:type="dxa" w:w="3500"/>
          </w:tcPr>
          <w:p>
            <w:r>
              <w:t xml:space="preserve">Runs all load procedures in order with one run ID</w:t>
            </w:r>
          </w:p>
        </w:tc>
      </w:tr>
    </w:tbl>
    <w:p>
      <w:pPr>
        <w:spacing w:after="300"/>
      </w:pPr>
    </w:p>
    <w:p>
      <w:pPr>
        <w:pStyle w:val="Heading2"/>
        <w:spacing w:after="200" w:before="200"/>
      </w:pPr>
      <w:r>
        <w:t xml:space="preserve">Script File Naming</w:t>
      </w:r>
    </w:p>
    <w:p>
      <w:pPr>
        <w:pStyle w:val="Heading3"/>
        <w:spacing w:after="100" w:before="100"/>
      </w:pPr>
      <w:r>
        <w:t xml:space="preserve">SQL Files</w:t>
      </w:r>
    </w:p>
    <w:p>
      <w:pPr>
        <w:spacing w:after="200"/>
      </w:pPr>
      <w:r>
        <w:t xml:space="preserve">SQL files use a prefix describing what they create: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300"/>
      </w:tblGrid>
      <w:tr>
        <w:tc>
          <w:tcPr>
            <w:tcW w:type="dxa" w:w="1200"/>
          </w:tcPr>
          <w:p>
            <w:r>
              <w:t xml:space="preserve">Prefix</w:t>
            </w:r>
          </w:p>
        </w:tc>
        <w:tc>
          <w:tcPr>
            <w:tcW w:type="dxa" w:w="2000"/>
          </w:tcPr>
          <w:p>
            <w:r>
              <w:t xml:space="preserve">Contains</w:t>
            </w:r>
          </w:p>
        </w:tc>
        <w:tc>
          <w:tcPr>
            <w:tcW w:type="dxa" w:w="3300"/>
          </w:tcPr>
          <w:p>
            <w:r>
              <w:t xml:space="preserve">Examples</w:t>
            </w:r>
          </w:p>
        </w:tc>
      </w:tr>
      <w:tr>
        <w:tc>
          <w:tcPr>
            <w:tcW w:type="dxa" w:w="1200"/>
          </w:tcPr>
          <w:p>
            <w:r>
              <w:t xml:space="preserve">ddl_</w:t>
            </w:r>
          </w:p>
        </w:tc>
        <w:tc>
          <w:tcPr>
            <w:tcW w:type="dxa" w:w="2000"/>
          </w:tcPr>
          <w:p>
            <w:r>
              <w:t xml:space="preserve">CREATE TABLE/VIEW</w:t>
            </w:r>
          </w:p>
        </w:tc>
        <w:tc>
          <w:tcPr>
            <w:tcW w:type="dxa" w:w="3300"/>
          </w:tcPr>
          <w:p>
            <w:r>
              <w:t xml:space="preserve">ddl_bronze.sql, ddl_silver.sql, ddl_gold_views.sql</w:t>
            </w:r>
          </w:p>
        </w:tc>
      </w:tr>
      <w:tr>
        <w:tc>
          <w:tcPr>
            <w:tcW w:type="dxa" w:w="1200"/>
          </w:tcPr>
          <w:p>
            <w:r>
              <w:t xml:space="preserve">proc_</w:t>
            </w:r>
          </w:p>
        </w:tc>
        <w:tc>
          <w:tcPr>
            <w:tcW w:type="dxa" w:w="2000"/>
          </w:tcPr>
          <w:p>
            <w:r>
              <w:t xml:space="preserve">CREATE PROCEDURE</w:t>
            </w:r>
          </w:p>
        </w:tc>
        <w:tc>
          <w:tcPr>
            <w:tcW w:type="dxa" w:w="3300"/>
          </w:tcPr>
          <w:p>
            <w:r>
              <w:t xml:space="preserve">proc_load_brz_crm_erp.sql, proc_run_full_pipeline.sql</w:t>
            </w:r>
          </w:p>
        </w:tc>
      </w:tr>
      <w:tr>
        <w:tc>
          <w:tcPr>
            <w:tcW w:type="dxa" w:w="1200"/>
          </w:tcPr>
          <w:p>
            <w:r>
              <w:t xml:space="preserve">quality_checks_</w:t>
            </w:r>
          </w:p>
        </w:tc>
        <w:tc>
          <w:tcPr>
            <w:tcW w:type="dxa" w:w="2000"/>
          </w:tcPr>
          <w:p>
            <w:r>
              <w:t xml:space="preserve">Validation queries</w:t>
            </w:r>
          </w:p>
        </w:tc>
        <w:tc>
          <w:tcPr>
            <w:tcW w:type="dxa" w:w="3300"/>
          </w:tcPr>
          <w:p>
            <w:r>
              <w:t xml:space="preserve">quality_checks_silver.sql, quality_checks_gold.sql</w:t>
            </w:r>
          </w:p>
        </w:tc>
      </w:tr>
    </w:tbl>
    <w:p>
      <w:pPr>
        <w:spacing w:after="300"/>
      </w:pPr>
    </w:p>
    <w:p>
      <w:pPr>
        <w:pStyle w:val="Heading3"/>
        <w:spacing w:after="100" w:before="100"/>
      </w:pPr>
      <w:r>
        <w:t xml:space="preserve">Python Scripts</w:t>
      </w:r>
    </w:p>
    <w:p>
      <w:pPr>
        <w:spacing w:after="200"/>
      </w:pPr>
      <w:r>
        <w:t xml:space="preserve">Python files use verb_noun naming, describing what they do: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tblGrid>
      <w:tr>
        <w:tc>
          <w:tcPr>
            <w:tcW w:type="dxa" w:w="2500"/>
          </w:tcPr>
          <w:p>
            <w:r>
              <w:t xml:space="preserve">Script</w:t>
            </w:r>
          </w:p>
        </w:tc>
        <w:tc>
          <w:tcPr>
            <w:tcW w:type="dxa" w:w="3500"/>
          </w:tcPr>
          <w:p>
            <w:r>
              <w:t xml:space="preserve">Action</w:t>
            </w:r>
          </w:p>
        </w:tc>
      </w:tr>
      <w:tr>
        <w:tc>
          <w:tcPr>
            <w:tcW w:type="dxa" w:w="2500"/>
          </w:tcPr>
          <w:p>
            <w:r>
              <w:t xml:space="preserve">fetch_fx_rates.py</w:t>
            </w:r>
          </w:p>
        </w:tc>
        <w:tc>
          <w:tcPr>
            <w:tcW w:type="dxa" w:w="3500"/>
          </w:tcPr>
          <w:p>
            <w:r>
              <w:t xml:space="preserve">Gets daily rates from the API into bronze</w:t>
            </w:r>
          </w:p>
        </w:tc>
      </w:tr>
      <w:tr>
        <w:tc>
          <w:tcPr>
            <w:tcW w:type="dxa" w:w="2500"/>
          </w:tcPr>
          <w:p>
            <w:r>
              <w:t xml:space="preserve">generate_web_events.py</w:t>
            </w:r>
          </w:p>
        </w:tc>
        <w:tc>
          <w:tcPr>
            <w:tcW w:type="dxa" w:w="3500"/>
          </w:tcPr>
          <w:p>
            <w:r>
              <w:t xml:space="preserve">Creates synthetic clickstream events</w:t>
            </w:r>
          </w:p>
        </w:tc>
      </w:tr>
      <w:tr>
        <w:tc>
          <w:tcPr>
            <w:tcW w:type="dxa" w:w="2500"/>
          </w:tcPr>
          <w:p>
            <w:r>
              <w:t xml:space="preserve">send_slack_alert.py</w:t>
            </w:r>
          </w:p>
        </w:tc>
        <w:tc>
          <w:tcPr>
            <w:tcW w:type="dxa" w:w="3500"/>
          </w:tcPr>
          <w:p>
            <w:r>
              <w:t xml:space="preserve">Posts pipeline results to Slack</w:t>
            </w:r>
          </w:p>
        </w:tc>
      </w:tr>
    </w:tbl>
    <w:p>
      <w:pPr>
        <w:spacing w:after="0" w:before="200"/>
      </w:pPr>
      <w:r>
        <w:t xml:space="preserve">Note: The external source DDL files (ddl_b_ext_source.sql and ddl_s_ext_source.sql) abbreviate the layer to a single letter. They could be renamed to ddl_bronze_ext_source.sql and ddl_silver_ext_source.sql to match procedure naming, but we've left them as a known inconsistency.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2026-09-06T14:17:27.266Z</dcterms:created>
  <dcterms:modified xsi:type="dcterms:W3CDTF">2026-09-06T14:17:27.280Z</dcterms:modified>
</cp:coreProperties>
</file>

<file path=docProps/custom.xml><?xml version="1.0" encoding="utf-8"?>
<Properties xmlns="http://schemas.openxmlformats.org/officeDocument/2006/custom-properties" xmlns:vt="http://schemas.openxmlformats.org/officeDocument/2006/docPropsVTypes"/>
</file>