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5C6B65"/>
          <w:sz w:val="18"/>
          <w:szCs w:val="18"/>
        </w:rPr>
        <w:t xml:space="preserve">PROJECT BRIEF</w:t>
      </w:r>
    </w:p>
    <w:p>
      <w:pPr>
        <w:spacing w:after="80"/>
      </w:pPr>
      <w:r>
        <w:rPr>
          <w:rFonts w:ascii="Cambria" w:cs="Cambria" w:eastAsia="Cambria" w:hAnsi="Cambria"/>
          <w:b/>
          <w:bCs/>
          <w:color w:val="1C2320"/>
          <w:sz w:val="44"/>
          <w:szCs w:val="44"/>
        </w:rPr>
        <w:t xml:space="preserve">10-Day Challenge</w:t>
      </w:r>
    </w:p>
    <w:p>
      <w:pPr>
        <w:spacing w:after="220"/>
      </w:pPr>
      <w:r>
        <w:rPr>
          <w:rFonts w:ascii="Calibri" w:cs="Calibri" w:eastAsia="Calibri" w:hAnsi="Calibri"/>
          <w:i/>
          <w:iCs/>
          <w:color w:val="5C6B65"/>
          <w:sz w:val="24"/>
          <w:szCs w:val="24"/>
        </w:rPr>
        <w:t xml:space="preserve">Emotion-aware, face-gesture music — from a kickoff conversation to a research plan</w:t>
      </w:r>
    </w:p>
    <w:p>
      <w:pPr>
        <w:spacing w:after="60"/>
      </w:pPr>
      <w:r>
        <w:rPr>
          <w:rFonts w:ascii="Calibri" w:cs="Calibri" w:eastAsia="Calibri" w:hAnsi="Calibri"/>
          <w:b/>
          <w:bCs/>
          <w:color w:val="5C6B65"/>
          <w:sz w:val="19"/>
          <w:szCs w:val="19"/>
        </w:rPr>
        <w:t xml:space="preserve">Team: </w:t>
      </w:r>
      <w:r>
        <w:rPr>
          <w:rFonts w:ascii="Calibri" w:cs="Calibri" w:eastAsia="Calibri" w:hAnsi="Calibri"/>
          <w:color w:val="1C2320"/>
          <w:sz w:val="19"/>
          <w:szCs w:val="19"/>
        </w:rPr>
        <w:t xml:space="preserve">Amin (design &amp; research) and AmiR (concept &amp; edit)</w:t>
      </w:r>
    </w:p>
    <w:p>
      <w:pPr>
        <w:spacing w:after="60"/>
      </w:pPr>
      <w:r>
        <w:rPr>
          <w:rFonts w:ascii="Calibri" w:cs="Calibri" w:eastAsia="Calibri" w:hAnsi="Calibri"/>
          <w:b/>
          <w:bCs/>
          <w:color w:val="5C6B65"/>
          <w:sz w:val="19"/>
          <w:szCs w:val="19"/>
        </w:rPr>
        <w:t xml:space="preserve">Kickoff: </w:t>
      </w:r>
      <w:r>
        <w:rPr>
          <w:rFonts w:ascii="Calibri" w:cs="Calibri" w:eastAsia="Calibri" w:hAnsi="Calibri"/>
          <w:color w:val="1C2320"/>
          <w:sz w:val="19"/>
          <w:szCs w:val="19"/>
        </w:rPr>
        <w:t xml:space="preserve">5 September 2026</w:t>
      </w:r>
    </w:p>
    <w:p>
      <w:pPr>
        <w:spacing w:after="60"/>
      </w:pPr>
      <w:r>
        <w:rPr>
          <w:rFonts w:ascii="Calibri" w:cs="Calibri" w:eastAsia="Calibri" w:hAnsi="Calibri"/>
          <w:b/>
          <w:bCs/>
          <w:color w:val="5C6B65"/>
          <w:sz w:val="19"/>
          <w:szCs w:val="19"/>
        </w:rPr>
        <w:t xml:space="preserve">Target: </w:t>
      </w:r>
      <w:r>
        <w:rPr>
          <w:rFonts w:ascii="Calibri" w:cs="Calibri" w:eastAsia="Calibri" w:hAnsi="Calibri"/>
          <w:color w:val="1C2320"/>
          <w:sz w:val="19"/>
          <w:szCs w:val="19"/>
        </w:rPr>
        <w:t xml:space="preserve">Complete research, validation, sketch, and prototype within 10 days</w:t>
      </w:r>
    </w:p>
    <w:p>
      <w:pPr>
        <w:pBdr>
          <w:bottom w:val="single" w:color="DCDFDA" w:sz="6" w:space="8"/>
        </w:pBdr>
        <w:spacing w:after="260"/>
      </w:pPr>
    </w:p>
    <w:p>
      <w:pPr>
        <w:pStyle w:val="Heading1"/>
        <w:spacing w:after="160" w:before="360"/>
      </w:pPr>
      <w:r>
        <w:rPr>
          <w:rFonts w:ascii="Cambria" w:cs="Cambria" w:eastAsia="Cambria" w:hAnsi="Cambria"/>
          <w:b/>
          <w:bCs/>
          <w:color w:val="1C2320"/>
          <w:sz w:val="30"/>
          <w:szCs w:val="30"/>
        </w:rPr>
        <w:t xml:space="preserve">1. Concept</w:t>
      </w:r>
    </w:p>
    <w:p>
      <w:pPr>
        <w:spacing w:after="180" w:line="300"/>
      </w:pPr>
      <w:r>
        <w:rPr>
          <w:rFonts w:ascii="Calibri" w:cs="Calibri" w:eastAsia="Calibri" w:hAnsi="Calibri"/>
          <w:i w:val="false"/>
          <w:iCs w:val="false"/>
          <w:color w:val="1C2320"/>
          <w:sz w:val="22"/>
          <w:szCs w:val="22"/>
        </w:rPr>
        <w:t xml:space="preserve">The project began as a simple question between the two of us: what if a media player chose its own music based on your facial expression, or even acted as a mood-aware voice recorder? The seed scenario is a car dashboard — a phone or small device propped on a stand, facing the driver. It reads the driver's expression and plays music to match, and can also take spoken commands, reading tone of voice as a second emotional signal alongside the face.</w:t>
      </w:r>
    </w:p>
    <w:p>
      <w:pPr>
        <w:spacing w:after="180" w:line="300"/>
      </w:pPr>
      <w:r>
        <w:rPr>
          <w:rFonts w:ascii="Calibri" w:cs="Calibri" w:eastAsia="Calibri" w:hAnsi="Calibri"/>
          <w:i w:val="false"/>
          <w:iCs w:val="false"/>
          <w:color w:val="1C2320"/>
          <w:sz w:val="22"/>
          <w:szCs w:val="22"/>
        </w:rPr>
        <w:t xml:space="preserve">That idea narrowed, over one conversation, into a defined research question, a working process, and a name: the 10-Day Challenge — everything wrapped, start to finish, in ten days.</w:t>
      </w:r>
    </w:p>
    <w:p>
      <w:pPr>
        <w:pStyle w:val="Heading1"/>
        <w:spacing w:after="160" w:before="360"/>
      </w:pPr>
      <w:r>
        <w:rPr>
          <w:rFonts w:ascii="Cambria" w:cs="Cambria" w:eastAsia="Cambria" w:hAnsi="Cambria"/>
          <w:b/>
          <w:bCs/>
          <w:color w:val="1C2320"/>
          <w:sz w:val="30"/>
          <w:szCs w:val="30"/>
        </w:rPr>
        <w:t xml:space="preserve">2. Scope &amp; framing</w:t>
      </w:r>
    </w:p>
    <w:p>
      <w:pPr>
        <w:spacing w:after="180" w:line="300"/>
      </w:pPr>
      <w:r>
        <w:rPr>
          <w:rFonts w:ascii="Calibri" w:cs="Calibri" w:eastAsia="Calibri" w:hAnsi="Calibri"/>
          <w:i w:val="false"/>
          <w:iCs w:val="false"/>
          <w:color w:val="1C2320"/>
          <w:sz w:val="22"/>
          <w:szCs w:val="22"/>
        </w:rPr>
        <w:t xml:space="preserve">This is a portfolio design piece, not a product we intend to ship. The point we want to make visible is how AI was used in the process deliberately and thoughtfully, rather than the project reading as generic "AI slop." The design journey and the reasoning behind each decision matter more than a finished, working build.</w:t>
      </w:r>
    </w:p>
    <w:p>
      <w:pPr>
        <w:spacing w:after="180" w:line="300"/>
      </w:pPr>
      <w:r>
        <w:rPr>
          <w:rFonts w:ascii="Calibri" w:cs="Calibri" w:eastAsia="Calibri" w:hAnsi="Calibri"/>
          <w:i w:val="false"/>
          <w:iCs w:val="false"/>
          <w:color w:val="1C2320"/>
          <w:sz w:val="22"/>
          <w:szCs w:val="22"/>
        </w:rPr>
        <w:t xml:space="preserve">A related tension we agreed to hold onto: the underlying mechanism can stay hidden and doesn't need a visible interface of its own, but whatever stays invisible in the product still has to show up in the UI and UX. The interface has to carry the concept even where the mechanism underneath is minimal. In short: autonomy for the system, but a strong, legible interface for the person.</w:t>
      </w:r>
    </w:p>
    <w:p>
      <w:pPr>
        <w:pStyle w:val="Heading1"/>
        <w:spacing w:after="160" w:before="360"/>
      </w:pPr>
      <w:r>
        <w:rPr>
          <w:rFonts w:ascii="Cambria" w:cs="Cambria" w:eastAsia="Cambria" w:hAnsi="Cambria"/>
          <w:b/>
          <w:bCs/>
          <w:color w:val="1C2320"/>
          <w:sz w:val="30"/>
          <w:szCs w:val="30"/>
        </w:rPr>
        <w:t xml:space="preserve">3. Research question</w:t>
      </w:r>
    </w:p>
    <w:p>
      <w:pPr>
        <w:spacing w:after="180" w:line="300"/>
      </w:pPr>
      <w:r>
        <w:rPr>
          <w:rFonts w:ascii="Calibri" w:cs="Calibri" w:eastAsia="Calibri" w:hAnsi="Calibri"/>
          <w:i w:val="false"/>
          <w:iCs w:val="false"/>
          <w:color w:val="1C2320"/>
          <w:sz w:val="22"/>
          <w:szCs w:val="22"/>
        </w:rPr>
        <w:t xml:space="preserve">How does music affect the stabilization of mental health? We want to map the phases someone moves through emotionally — for example, from crying toward calm, or from high excitement toward controlled calm — onto a spectrum of music, and identify which situations call for that kind of regulation.</w:t>
      </w:r>
    </w:p>
    <w:p>
      <w:pPr>
        <w:spacing w:after="180" w:line="300"/>
      </w:pPr>
      <w:r>
        <w:rPr>
          <w:rFonts w:ascii="Calibri" w:cs="Calibri" w:eastAsia="Calibri" w:hAnsi="Calibri"/>
          <w:i w:val="false"/>
          <w:iCs w:val="false"/>
          <w:color w:val="1C2320"/>
          <w:sz w:val="22"/>
          <w:szCs w:val="22"/>
        </w:rPr>
        <w:t xml:space="preserve">The underlying ambition is to find the bridge between the academic literature on this and people's actual, often unstated needs — not just understanding people in the abstract, but understanding the bridge between kinds of music and the states they can move someone toward.</w:t>
      </w:r>
    </w:p>
    <w:p>
      <w:pPr>
        <w:pStyle w:val="Heading1"/>
        <w:spacing w:after="160" w:before="360"/>
      </w:pPr>
      <w:r>
        <w:rPr>
          <w:rFonts w:ascii="Cambria" w:cs="Cambria" w:eastAsia="Cambria" w:hAnsi="Cambria"/>
          <w:b/>
          <w:bCs/>
          <w:color w:val="1C2320"/>
          <w:sz w:val="30"/>
          <w:szCs w:val="30"/>
        </w:rPr>
        <w:t xml:space="preserve">4. Proposed mechanism</w:t>
      </w:r>
    </w:p>
    <w:p>
      <w:pPr>
        <w:spacing w:after="180" w:line="300"/>
      </w:pPr>
      <w:r>
        <w:rPr>
          <w:rFonts w:ascii="Calibri" w:cs="Calibri" w:eastAsia="Calibri" w:hAnsi="Calibri"/>
          <w:i w:val="false"/>
          <w:iCs w:val="false"/>
          <w:color w:val="1C2320"/>
          <w:sz w:val="22"/>
          <w:szCs w:val="22"/>
        </w:rPr>
        <w:t xml:space="preserve">Face-gesture computing as the primary input signal: a camera reads the person's expression and adjusts the music accordingly. A voice-command layer sits alongside it as a secondary input, reading tone of voice as an additional emotional signal. The car-dashboard scenario is the clearest use case, but the mechanism isn't tied to it.</w:t>
      </w:r>
    </w:p>
    <w:p>
      <w:pPr>
        <w:pStyle w:val="Heading1"/>
        <w:spacing w:after="160" w:before="360"/>
      </w:pPr>
      <w:r>
        <w:rPr>
          <w:rFonts w:ascii="Cambria" w:cs="Cambria" w:eastAsia="Cambria" w:hAnsi="Cambria"/>
          <w:b/>
          <w:bCs/>
          <w:color w:val="1C2320"/>
          <w:sz w:val="30"/>
          <w:szCs w:val="30"/>
        </w:rPr>
        <w:t xml:space="preserve">5. Prior art &amp; benchmarks</w:t>
      </w:r>
    </w:p>
    <w:p>
      <w:pPr>
        <w:spacing w:after="180" w:line="300"/>
      </w:pPr>
      <w:r>
        <w:rPr>
          <w:rFonts w:ascii="Calibri" w:cs="Calibri" w:eastAsia="Calibri" w:hAnsi="Calibri"/>
          <w:i w:val="false"/>
          <w:iCs w:val="false"/>
          <w:color w:val="1C2320"/>
          <w:sz w:val="22"/>
          <w:szCs w:val="22"/>
        </w:rPr>
        <w:t xml:space="preserve">A first pass on what already exists — the "check the benchmarks" step from the kickoff conversation, done as a quick scan on 6 September. Worth treating as a starting point for the real research phase, not a substitute for it.</w:t>
      </w:r>
    </w:p>
    <w:p>
      <w:pPr>
        <w:spacing w:after="160" w:line="300"/>
      </w:pPr>
      <w:r>
        <w:rPr>
          <w:rFonts w:ascii="Calibri" w:cs="Calibri" w:eastAsia="Calibri" w:hAnsi="Calibri"/>
          <w:b/>
          <w:bCs/>
          <w:color w:val="7C5AA8"/>
          <w:sz w:val="22"/>
          <w:szCs w:val="22"/>
        </w:rPr>
        <w:t xml:space="preserve">Hobby &amp; student projects:  </w:t>
      </w:r>
      <w:r>
        <w:rPr>
          <w:rFonts w:ascii="Calibri" w:cs="Calibri" w:eastAsia="Calibri" w:hAnsi="Calibri"/>
          <w:color w:val="1C2320"/>
          <w:sz w:val="22"/>
          <w:szCs w:val="22"/>
        </w:rPr>
        <w:t xml:space="preserve">plenty of open-source webcam-to-playlist builds already exist. All do the same thing: detect one emotion label, match it to a genre. No journey, no car context.</w:t>
      </w:r>
    </w:p>
    <w:p>
      <w:pPr>
        <w:spacing w:after="160" w:line="300"/>
      </w:pPr>
      <w:r>
        <w:rPr>
          <w:rFonts w:ascii="Calibri" w:cs="Calibri" w:eastAsia="Calibri" w:hAnsi="Calibri"/>
          <w:b/>
          <w:bCs/>
          <w:color w:val="7C5AA8"/>
          <w:sz w:val="22"/>
          <w:szCs w:val="22"/>
        </w:rPr>
        <w:t xml:space="preserve">Academic mood-recommender papers:  </w:t>
      </w:r>
      <w:r>
        <w:rPr>
          <w:rFonts w:ascii="Calibri" w:cs="Calibri" w:eastAsia="Calibri" w:hAnsi="Calibri"/>
          <w:color w:val="1C2320"/>
          <w:sz w:val="22"/>
          <w:szCs w:val="22"/>
        </w:rPr>
        <w:t xml:space="preserve">a large, fairly saturated literature (ESPOTIFY, TuneAura, and many near-duplicates) doing CNN-based facial emotion to playlist-genre matching — the same simple mapping as the hobby projects, just published.</w:t>
      </w:r>
    </w:p>
    <w:p>
      <w:pPr>
        <w:spacing w:after="160" w:line="300"/>
      </w:pPr>
      <w:r>
        <w:rPr>
          <w:rFonts w:ascii="Calibri" w:cs="Calibri" w:eastAsia="Calibri" w:hAnsi="Calibri"/>
          <w:b/>
          <w:bCs/>
          <w:color w:val="7C5AA8"/>
          <w:sz w:val="22"/>
          <w:szCs w:val="22"/>
        </w:rPr>
        <w:t xml:space="preserve">In-car mood research:  </w:t>
      </w:r>
      <w:r>
        <w:rPr>
          <w:rFonts w:ascii="Calibri" w:cs="Calibri" w:eastAsia="Calibri" w:hAnsi="Calibri"/>
          <w:color w:val="1C2320"/>
          <w:sz w:val="22"/>
          <w:szCs w:val="22"/>
        </w:rPr>
        <w:t xml:space="preserve">the closest published match to the dashboard scenario ("Mood-Based On-Car Music Recommendations") reads mood from a heart-rate wearable plus driving telemetry, not a camera on the face, and is a proof-of-concept with no formal evaluation.</w:t>
      </w:r>
    </w:p>
    <w:p>
      <w:pPr>
        <w:spacing w:after="160" w:line="300"/>
      </w:pPr>
      <w:r>
        <w:rPr>
          <w:rFonts w:ascii="Calibri" w:cs="Calibri" w:eastAsia="Calibri" w:hAnsi="Calibri"/>
          <w:b/>
          <w:bCs/>
          <w:color w:val="7C5AA8"/>
          <w:sz w:val="22"/>
          <w:szCs w:val="22"/>
        </w:rPr>
        <w:t xml:space="preserve">Emotion-regulation HCI research:  </w:t>
      </w:r>
      <w:r>
        <w:rPr>
          <w:rFonts w:ascii="Calibri" w:cs="Calibri" w:eastAsia="Calibri" w:hAnsi="Calibri"/>
          <w:color w:val="1C2320"/>
          <w:sz w:val="22"/>
          <w:szCs w:val="22"/>
        </w:rPr>
        <w:t xml:space="preserve">MoodDJ (University of Melbourne, a Spotify plugin) and EmoHeal (2026) both use the "iso-principle" to guide someone from their current emotional state toward a calmer one — the closest existing work to "phases of moving through sadness." Both start from typed or self-reported emotion, not facial expression.</w:t>
      </w:r>
    </w:p>
    <w:p>
      <w:pPr>
        <w:spacing w:after="160" w:line="300"/>
      </w:pPr>
      <w:r>
        <w:rPr>
          <w:rFonts w:ascii="Calibri" w:cs="Calibri" w:eastAsia="Calibri" w:hAnsi="Calibri"/>
          <w:b/>
          <w:bCs/>
          <w:color w:val="7C5AA8"/>
          <w:sz w:val="22"/>
          <w:szCs w:val="22"/>
        </w:rPr>
        <w:t xml:space="preserve">Physiological / EEG route:  </w:t>
      </w:r>
      <w:r>
        <w:rPr>
          <w:rFonts w:ascii="Calibri" w:cs="Calibri" w:eastAsia="Calibri" w:hAnsi="Calibri"/>
          <w:color w:val="1C2320"/>
          <w:sz w:val="22"/>
          <w:szCs w:val="22"/>
        </w:rPr>
        <w:t xml:space="preserve">systems such as Serenity Island drive calming visuals from an EEG headset but keep the music itself fixed — no facial input, no musical variation.</w:t>
      </w:r>
    </w:p>
    <w:p>
      <w:pPr>
        <w:spacing w:after="160" w:line="300"/>
      </w:pPr>
      <w:r>
        <w:rPr>
          <w:rFonts w:ascii="Calibri" w:cs="Calibri" w:eastAsia="Calibri" w:hAnsi="Calibri"/>
          <w:b/>
          <w:bCs/>
          <w:color w:val="7C5AA8"/>
          <w:sz w:val="22"/>
          <w:szCs w:val="22"/>
        </w:rPr>
        <w:t xml:space="preserve">Automotive industry:  </w:t>
      </w:r>
      <w:r>
        <w:rPr>
          <w:rFonts w:ascii="Calibri" w:cs="Calibri" w:eastAsia="Calibri" w:hAnsi="Calibri"/>
          <w:color w:val="1C2320"/>
          <w:sz w:val="22"/>
          <w:szCs w:val="22"/>
        </w:rPr>
        <w:t xml:space="preserve">Affectiva (now part of Smart Eye) already sells driver-monitoring cameras paired with Cerence's "emotionally aware in-car assistant" — the closest real deployment to the original dashboard idea, but a shipped safety/assistant platform, not a documented design case study built around a music spectrum.</w:t>
      </w:r>
    </w:p>
    <w:p>
      <w:pPr>
        <w:spacing w:after="180" w:line="300"/>
      </w:pPr>
      <w:r>
        <w:rPr>
          <w:rFonts w:ascii="Calibri" w:cs="Calibri" w:eastAsia="Calibri" w:hAnsi="Calibri"/>
          <w:i w:val="false"/>
          <w:iCs w:val="false"/>
          <w:color w:val="1C2320"/>
          <w:sz w:val="22"/>
          <w:szCs w:val="22"/>
        </w:rPr>
        <w:t xml:space="preserve">The gap this project can sit in: nobody in this scan combines facial-gesture input (rather than heart rate, EEG, or typed self-report) with an explicit phase-transition model — moving someone across a spectrum of music rather than matching one snapshot mood to one playlist. That combination, documented as a portfolio case study rather than a shipped product, looks like real, uncrowded ground.</w:t>
      </w:r>
    </w:p>
    <w:p>
      <w:pPr>
        <w:pStyle w:val="Heading1"/>
        <w:spacing w:after="160" w:before="360"/>
      </w:pPr>
      <w:r>
        <w:rPr>
          <w:rFonts w:ascii="Cambria" w:cs="Cambria" w:eastAsia="Cambria" w:hAnsi="Cambria"/>
          <w:b/>
          <w:bCs/>
          <w:color w:val="1C2320"/>
          <w:sz w:val="30"/>
          <w:szCs w:val="30"/>
        </w:rPr>
        <w:t xml:space="preserve">6. Development plan</w:t>
      </w:r>
    </w:p>
    <w:p>
      <w:pPr>
        <w:spacing w:after="180" w:line="300"/>
      </w:pPr>
      <w:r>
        <w:rPr>
          <w:rFonts w:ascii="Calibri" w:cs="Calibri" w:eastAsia="Calibri" w:hAnsi="Calibri"/>
          <w:i w:val="false"/>
          <w:iCs w:val="false"/>
          <w:color w:val="1C2320"/>
          <w:sz w:val="22"/>
          <w:szCs w:val="22"/>
        </w:rPr>
        <w:t xml:space="preserve">Agreed order of operations, in sequence:</w:t>
      </w:r>
    </w:p>
    <w:p>
      <w:pPr>
        <w:pStyle w:val="ListParagraph"/>
        <w:numPr>
          <w:ilvl w:val="0"/>
          <w:numId w:val="2"/>
        </w:numPr>
        <w:spacing w:after="140" w:line="290"/>
      </w:pPr>
      <w:r>
        <w:rPr>
          <w:rFonts w:ascii="Calibri" w:cs="Calibri" w:eastAsia="Calibri" w:hAnsi="Calibri"/>
          <w:color w:val="1C2320"/>
          <w:sz w:val="22"/>
          <w:szCs w:val="22"/>
        </w:rPr>
        <w:t xml:space="preserve">Check feasibility. Jumping straight into development without this would not be useful — the research phase has to come first.</w:t>
      </w:r>
    </w:p>
    <w:p>
      <w:pPr>
        <w:pStyle w:val="ListParagraph"/>
        <w:numPr>
          <w:ilvl w:val="0"/>
          <w:numId w:val="2"/>
        </w:numPr>
        <w:spacing w:after="140" w:line="290"/>
      </w:pPr>
      <w:r>
        <w:rPr>
          <w:rFonts w:ascii="Calibri" w:cs="Calibri" w:eastAsia="Calibri" w:hAnsi="Calibri"/>
          <w:color w:val="1C2320"/>
          <w:sz w:val="22"/>
          <w:szCs w:val="22"/>
        </w:rPr>
        <w:t xml:space="preserve">Sketch the app structure, while checking comparable benchmarks in parallel.</w:t>
      </w:r>
    </w:p>
    <w:p>
      <w:pPr>
        <w:pStyle w:val="ListParagraph"/>
        <w:numPr>
          <w:ilvl w:val="0"/>
          <w:numId w:val="2"/>
        </w:numPr>
        <w:spacing w:after="140" w:line="290"/>
      </w:pPr>
      <w:r>
        <w:rPr>
          <w:rFonts w:ascii="Calibri" w:cs="Calibri" w:eastAsia="Calibri" w:hAnsi="Calibri"/>
          <w:color w:val="1C2320"/>
          <w:sz w:val="22"/>
          <w:szCs w:val="22"/>
        </w:rPr>
        <w:t xml:space="preserve">Research phase: revisit the affective-computing literature already gathered for the master's thesis, and use it to pin down the actual pain points.</w:t>
      </w:r>
    </w:p>
    <w:p>
      <w:pPr>
        <w:pStyle w:val="ListParagraph"/>
        <w:numPr>
          <w:ilvl w:val="0"/>
          <w:numId w:val="2"/>
        </w:numPr>
        <w:spacing w:after="140" w:line="290"/>
      </w:pPr>
      <w:r>
        <w:rPr>
          <w:rFonts w:ascii="Calibri" w:cs="Calibri" w:eastAsia="Calibri" w:hAnsi="Calibri"/>
          <w:color w:val="1C2320"/>
          <w:sz w:val="22"/>
          <w:szCs w:val="22"/>
        </w:rPr>
        <w:t xml:space="preserve">Talk to people: run interviews, then a thematic analysis on what they say, to surface the real product gap.</w:t>
      </w:r>
    </w:p>
    <w:p>
      <w:pPr>
        <w:pStyle w:val="ListParagraph"/>
        <w:numPr>
          <w:ilvl w:val="0"/>
          <w:numId w:val="2"/>
        </w:numPr>
        <w:spacing w:after="140" w:line="290"/>
      </w:pPr>
      <w:r>
        <w:rPr>
          <w:rFonts w:ascii="Calibri" w:cs="Calibri" w:eastAsia="Calibri" w:hAnsi="Calibri"/>
          <w:color w:val="1C2320"/>
          <w:sz w:val="22"/>
          <w:szCs w:val="22"/>
        </w:rPr>
        <w:t xml:space="preserve">Validate with a survey: send out a questionnaire once the interview-based direction holds up, to gather broader data.</w:t>
      </w:r>
    </w:p>
    <w:p>
      <w:pPr>
        <w:pStyle w:val="ListParagraph"/>
        <w:numPr>
          <w:ilvl w:val="0"/>
          <w:numId w:val="2"/>
        </w:numPr>
        <w:spacing w:after="140" w:line="290"/>
      </w:pPr>
      <w:r>
        <w:rPr>
          <w:rFonts w:ascii="Calibri" w:cs="Calibri" w:eastAsia="Calibri" w:hAnsi="Calibri"/>
          <w:color w:val="1C2320"/>
          <w:sz w:val="22"/>
          <w:szCs w:val="22"/>
        </w:rPr>
        <w:t xml:space="preserve">Sketch.</w:t>
      </w:r>
    </w:p>
    <w:p>
      <w:pPr>
        <w:pStyle w:val="ListParagraph"/>
        <w:numPr>
          <w:ilvl w:val="0"/>
          <w:numId w:val="2"/>
        </w:numPr>
        <w:spacing w:after="140" w:line="290"/>
      </w:pPr>
      <w:r>
        <w:rPr>
          <w:rFonts w:ascii="Calibri" w:cs="Calibri" w:eastAsia="Calibri" w:hAnsi="Calibri"/>
          <w:color w:val="1C2320"/>
          <w:sz w:val="22"/>
          <w:szCs w:val="22"/>
        </w:rPr>
        <w:t xml:space="preserve">Prototype — and stop there. A working prototype is the target; a fully developed build is not required.</w:t>
      </w:r>
    </w:p>
    <w:p>
      <w:pPr>
        <w:pStyle w:val="Heading1"/>
        <w:spacing w:after="160" w:before="360"/>
      </w:pPr>
      <w:r>
        <w:rPr>
          <w:rFonts w:ascii="Cambria" w:cs="Cambria" w:eastAsia="Cambria" w:hAnsi="Cambria"/>
          <w:b/>
          <w:bCs/>
          <w:color w:val="1C2320"/>
          <w:sz w:val="30"/>
          <w:szCs w:val="30"/>
        </w:rPr>
        <w:t xml:space="preserve">7. Timeline</w:t>
      </w:r>
    </w:p>
    <w:p>
      <w:pPr>
        <w:spacing w:after="180" w:line="300"/>
      </w:pPr>
      <w:r>
        <w:rPr>
          <w:rFonts w:ascii="Calibri" w:cs="Calibri" w:eastAsia="Calibri" w:hAnsi="Calibri"/>
          <w:i w:val="false"/>
          <w:iCs w:val="false"/>
          <w:color w:val="1C2320"/>
          <w:sz w:val="22"/>
          <w:szCs w:val="22"/>
        </w:rPr>
        <w:t xml:space="preserve">The whole cycle above is scoped to ten days from kickoff (5 September 2026). Day-by-day allocation across the seven steps is not yet fixed and is one of the first things to lock down.</w:t>
      </w:r>
    </w:p>
    <w:p>
      <w:pPr>
        <w:pStyle w:val="Heading1"/>
        <w:spacing w:after="160" w:before="360"/>
      </w:pPr>
      <w:r>
        <w:rPr>
          <w:rFonts w:ascii="Cambria" w:cs="Cambria" w:eastAsia="Cambria" w:hAnsi="Cambria"/>
          <w:b/>
          <w:bCs/>
          <w:color w:val="1C2320"/>
          <w:sz w:val="30"/>
          <w:szCs w:val="30"/>
        </w:rPr>
        <w:t xml:space="preserve">8. Key decisions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pct" w:w="50%"/>
            <w:tcBorders>
              <w:top w:val="single" w:color="DCDFDA" w:sz="4"/>
              <w:left w:val="single" w:color="DCDFDA" w:sz="4"/>
              <w:bottom w:val="single" w:color="DCDFDA" w:sz="4"/>
              <w:right w:val="single" w:color="DCDFDA" w:sz="4"/>
            </w:tcBorders>
            <w:shd w:fill="F4F5F2" w:color="auto" w:val="clear"/>
            <w:tcMar>
              <w:top w:type="dxa" w:w="160"/>
              <w:left w:type="dxa" w:w="180"/>
              <w:bottom w:type="dxa" w:w="160"/>
              <w:right w:type="dxa" w:w="180"/>
            </w:tcMar>
          </w:tcPr>
          <w:p>
            <w:pPr>
              <w:spacing w:after="60"/>
            </w:pPr>
            <w:r>
              <w:rPr>
                <w:rFonts w:ascii="Calibri" w:cs="Calibri" w:eastAsia="Calibri" w:hAnsi="Calibri"/>
                <w:b/>
                <w:bCs/>
                <w:color w:val="2F6F6A"/>
                <w:sz w:val="17"/>
                <w:szCs w:val="17"/>
              </w:rPr>
              <w:t xml:space="preserve">SCOPE</w:t>
            </w:r>
          </w:p>
          <w:p>
            <w:pPr>
              <w:spacing w:after="0" w:line="270"/>
            </w:pPr>
            <w:r>
              <w:rPr>
                <w:rFonts w:ascii="Calibri" w:cs="Calibri" w:eastAsia="Calibri" w:hAnsi="Calibri"/>
                <w:color w:val="1C2320"/>
                <w:sz w:val="20"/>
                <w:szCs w:val="20"/>
              </w:rPr>
              <w:t xml:space="preserve">Portfolio design piece, not a shipped product. Process and reasoning matter more than a finished build.</w:t>
            </w:r>
          </w:p>
        </w:tc>
        <w:tc>
          <w:tcPr>
            <w:tcW w:type="pct" w:w="50%"/>
            <w:tcBorders>
              <w:top w:val="single" w:color="DCDFDA" w:sz="4"/>
              <w:left w:val="single" w:color="DCDFDA" w:sz="4"/>
              <w:bottom w:val="single" w:color="DCDFDA" w:sz="4"/>
              <w:right w:val="single" w:color="DCDFDA" w:sz="4"/>
            </w:tcBorders>
            <w:shd w:fill="F4F5F2" w:color="auto" w:val="clear"/>
            <w:tcMar>
              <w:top w:type="dxa" w:w="160"/>
              <w:left w:type="dxa" w:w="180"/>
              <w:bottom w:type="dxa" w:w="160"/>
              <w:right w:type="dxa" w:w="180"/>
            </w:tcMar>
          </w:tcPr>
          <w:p>
            <w:pPr>
              <w:spacing w:after="60"/>
            </w:pPr>
            <w:r>
              <w:rPr>
                <w:rFonts w:ascii="Calibri" w:cs="Calibri" w:eastAsia="Calibri" w:hAnsi="Calibri"/>
                <w:b/>
                <w:bCs/>
                <w:color w:val="2F6F6A"/>
                <w:sz w:val="17"/>
                <w:szCs w:val="17"/>
              </w:rPr>
              <w:t xml:space="preserve">RESEARCH QUESTION</w:t>
            </w:r>
          </w:p>
          <w:p>
            <w:pPr>
              <w:spacing w:after="0" w:line="270"/>
            </w:pPr>
            <w:r>
              <w:rPr>
                <w:rFonts w:ascii="Calibri" w:cs="Calibri" w:eastAsia="Calibri" w:hAnsi="Calibri"/>
                <w:color w:val="1C2320"/>
                <w:sz w:val="20"/>
                <w:szCs w:val="20"/>
              </w:rPr>
              <w:t xml:space="preserve">How music affects the stabilization of mental health, mapped as phases across a spectrum of music.</w:t>
            </w:r>
          </w:p>
        </w:tc>
      </w:tr>
      <w:tr>
        <w:tc>
          <w:tcPr>
            <w:tcW w:type="pct" w:w="50%"/>
            <w:tcBorders>
              <w:top w:val="single" w:color="DCDFDA" w:sz="4"/>
              <w:left w:val="single" w:color="DCDFDA" w:sz="4"/>
              <w:bottom w:val="single" w:color="DCDFDA" w:sz="4"/>
              <w:right w:val="single" w:color="DCDFDA" w:sz="4"/>
            </w:tcBorders>
            <w:shd w:fill="F4F5F2" w:color="auto" w:val="clear"/>
            <w:tcMar>
              <w:top w:type="dxa" w:w="160"/>
              <w:left w:type="dxa" w:w="180"/>
              <w:bottom w:type="dxa" w:w="160"/>
              <w:right w:type="dxa" w:w="180"/>
            </w:tcMar>
          </w:tcPr>
          <w:p>
            <w:pPr>
              <w:spacing w:after="60"/>
            </w:pPr>
            <w:r>
              <w:rPr>
                <w:rFonts w:ascii="Calibri" w:cs="Calibri" w:eastAsia="Calibri" w:hAnsi="Calibri"/>
                <w:b/>
                <w:bCs/>
                <w:color w:val="2F6F6A"/>
                <w:sz w:val="17"/>
                <w:szCs w:val="17"/>
              </w:rPr>
              <w:t xml:space="preserve">MECHANISM</w:t>
            </w:r>
          </w:p>
          <w:p>
            <w:pPr>
              <w:spacing w:after="0" w:line="270"/>
            </w:pPr>
            <w:r>
              <w:rPr>
                <w:rFonts w:ascii="Calibri" w:cs="Calibri" w:eastAsia="Calibri" w:hAnsi="Calibri"/>
                <w:color w:val="1C2320"/>
                <w:sz w:val="20"/>
                <w:szCs w:val="20"/>
              </w:rPr>
              <w:t xml:space="preserve">Face-gesture computing as the primary signal; voice tone as a secondary input.</w:t>
            </w:r>
          </w:p>
        </w:tc>
        <w:tc>
          <w:tcPr>
            <w:tcW w:type="pct" w:w="50%"/>
            <w:tcBorders>
              <w:top w:val="single" w:color="DCDFDA" w:sz="4"/>
              <w:left w:val="single" w:color="DCDFDA" w:sz="4"/>
              <w:bottom w:val="single" w:color="DCDFDA" w:sz="4"/>
              <w:right w:val="single" w:color="DCDFDA" w:sz="4"/>
            </w:tcBorders>
            <w:shd w:fill="F4F5F2" w:color="auto" w:val="clear"/>
            <w:tcMar>
              <w:top w:type="dxa" w:w="160"/>
              <w:left w:type="dxa" w:w="180"/>
              <w:bottom w:type="dxa" w:w="160"/>
              <w:right w:type="dxa" w:w="180"/>
            </w:tcMar>
          </w:tcPr>
          <w:p>
            <w:pPr>
              <w:spacing w:after="60"/>
            </w:pPr>
            <w:r>
              <w:rPr>
                <w:rFonts w:ascii="Calibri" w:cs="Calibri" w:eastAsia="Calibri" w:hAnsi="Calibri"/>
                <w:b/>
                <w:bCs/>
                <w:color w:val="2F6F6A"/>
                <w:sz w:val="17"/>
                <w:szCs w:val="17"/>
              </w:rPr>
              <w:t xml:space="preserve">DEADLINE</w:t>
            </w:r>
          </w:p>
          <w:p>
            <w:pPr>
              <w:spacing w:after="0" w:line="270"/>
            </w:pPr>
            <w:r>
              <w:rPr>
                <w:rFonts w:ascii="Calibri" w:cs="Calibri" w:eastAsia="Calibri" w:hAnsi="Calibri"/>
                <w:color w:val="1C2320"/>
                <w:sz w:val="20"/>
                <w:szCs w:val="20"/>
              </w:rPr>
              <w:t xml:space="preserve">Self-set: research, validation, sketch, and prototype, all within 10 days.</w:t>
            </w:r>
          </w:p>
        </w:tc>
      </w:tr>
    </w:tbl>
    <w:p>
      <w:pPr>
        <w:pStyle w:val="Heading1"/>
        <w:spacing w:after="160" w:before="360"/>
      </w:pPr>
      <w:r>
        <w:rPr>
          <w:rFonts w:ascii="Cambria" w:cs="Cambria" w:eastAsia="Cambria" w:hAnsi="Cambria"/>
          <w:b/>
          <w:bCs/>
          <w:color w:val="1C2320"/>
          <w:sz w:val="30"/>
          <w:szCs w:val="30"/>
        </w:rPr>
        <w:t xml:space="preserve">9. Open questions &amp; next steps</w:t>
      </w:r>
    </w:p>
    <w:p>
      <w:pPr>
        <w:pStyle w:val="ListParagraph"/>
        <w:numPr>
          <w:ilvl w:val="0"/>
          <w:numId w:val="3"/>
        </w:numPr>
        <w:spacing w:after="100" w:line="290"/>
      </w:pPr>
      <w:r>
        <w:rPr>
          <w:rFonts w:ascii="Calibri" w:cs="Calibri" w:eastAsia="Calibri" w:hAnsi="Calibri"/>
          <w:color w:val="1C2320"/>
          <w:sz w:val="22"/>
          <w:szCs w:val="22"/>
        </w:rPr>
        <w:t xml:space="preserve">Who drafts the "project question and problem" write-up — not yet assigned between the two of us.</w:t>
      </w:r>
    </w:p>
    <w:p>
      <w:pPr>
        <w:pStyle w:val="ListParagraph"/>
        <w:numPr>
          <w:ilvl w:val="0"/>
          <w:numId w:val="3"/>
        </w:numPr>
        <w:spacing w:after="100" w:line="290"/>
      </w:pPr>
      <w:r>
        <w:rPr>
          <w:rFonts w:ascii="Calibri" w:cs="Calibri" w:eastAsia="Calibri" w:hAnsi="Calibri"/>
          <w:color w:val="1C2320"/>
          <w:sz w:val="22"/>
          <w:szCs w:val="22"/>
        </w:rPr>
        <w:t xml:space="preserve">Which tool to track the ten days in (Notion or otherwise) — not yet decided.</w:t>
      </w:r>
    </w:p>
    <w:p>
      <w:pPr>
        <w:pStyle w:val="ListParagraph"/>
        <w:numPr>
          <w:ilvl w:val="0"/>
          <w:numId w:val="3"/>
        </w:numPr>
        <w:spacing w:after="100" w:line="290"/>
      </w:pPr>
      <w:r>
        <w:rPr>
          <w:rFonts w:ascii="Calibri" w:cs="Calibri" w:eastAsia="Calibri" w:hAnsi="Calibri"/>
          <w:color w:val="1C2320"/>
          <w:sz w:val="22"/>
          <w:szCs w:val="22"/>
        </w:rPr>
        <w:t xml:space="preserve">Day-by-day breakdown of the ten days against the seven development steps — still to be scoped.</w:t>
      </w:r>
    </w:p>
    <w:p>
      <w:pPr>
        <w:pStyle w:val="ListParagraph"/>
        <w:numPr>
          <w:ilvl w:val="0"/>
          <w:numId w:val="3"/>
        </w:numPr>
        <w:spacing w:after="100" w:line="290"/>
      </w:pPr>
      <w:r>
        <w:rPr>
          <w:rFonts w:ascii="Calibri" w:cs="Calibri" w:eastAsia="Calibri" w:hAnsi="Calibri"/>
          <w:color w:val="1C2320"/>
          <w:sz w:val="22"/>
          <w:szCs w:val="22"/>
        </w:rPr>
        <w:t xml:space="preserve">Immediate next step: begin the research phase — review prior work on the role of music in mental health, and start drafting the survey.</w:t>
      </w:r>
    </w:p>
    <w:p>
      <w:pPr>
        <w:pBdr>
          <w:top w:val="single" w:color="DCDFDA" w:sz="4" w:space="8"/>
        </w:pBdr>
        <w:spacing w:before="320"/>
      </w:pPr>
      <w:r>
        <w:rPr>
          <w:rFonts w:ascii="Calibri" w:cs="Calibri" w:eastAsia="Calibri" w:hAnsi="Calibri"/>
          <w:i/>
          <w:iCs/>
          <w:color w:val="5C6B65"/>
          <w:sz w:val="17"/>
          <w:szCs w:val="17"/>
        </w:rPr>
        <w:t xml:space="preserve">Compiled from the project kickoff conversation between Amin and AmiR, 5 September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2026-09-06T20:01:17.312Z</dcterms:created>
  <dcterms:modified xsi:type="dcterms:W3CDTF">2026-09-06T20:01:17.325Z</dcterms:modified>
</cp:coreProperties>
</file>

<file path=docProps/custom.xml><?xml version="1.0" encoding="utf-8"?>
<Properties xmlns="http://schemas.openxmlformats.org/officeDocument/2006/custom-properties" xmlns:vt="http://schemas.openxmlformats.org/officeDocument/2006/docPropsVTypes"/>
</file>