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4"/>
          <w:szCs w:val="24"/>
        </w:rPr>
        <w:t xml:space="preserve">UNIVERSITÉ JOSEPH KI-ZERBO</w:t>
      </w:r>
    </w:p>
    <w:p>
      <w:pPr>
        <w:spacing w:after="100"/>
        <w:jc w:val="center"/>
      </w:pPr>
      <w:r>
        <w:rPr>
          <w:rFonts w:ascii="Times New Roman" w:cs="Times New Roman" w:eastAsia="Times New Roman" w:hAnsi="Times New Roman"/>
          <w:b/>
          <w:bCs/>
          <w:color w:val="0B2545"/>
          <w:sz w:val="26"/>
          <w:szCs w:val="26"/>
        </w:rPr>
        <w:t xml:space="preserve">INSTITUT SUPÉRIEUR DES SCIENCES DE LA POPULATION (ISSP)</w:t>
      </w:r>
    </w:p>
    <w:p>
      <w:pPr>
        <w:spacing w:after="100"/>
        <w:jc w:val="center"/>
      </w:pPr>
      <w:r>
        <w:rPr>
          <w:rFonts w:ascii="Times New Roman" w:cs="Times New Roman" w:eastAsia="Times New Roman" w:hAnsi="Times New Roman"/>
          <w:i/>
          <w:iCs/>
          <w:color w:val="13795B"/>
          <w:sz w:val="22"/>
          <w:szCs w:val="22"/>
        </w:rPr>
        <w:t xml:space="preserve">Observatoire de Population de Ouagadougou (OPO)</w:t>
      </w:r>
    </w:p>
    <w:p>
      <w:pPr>
        <w:spacing w:after="600"/>
        <w:jc w:val="center"/>
      </w:pPr>
      <w:r>
        <w:rPr>
          <w:rFonts w:ascii="Times New Roman" w:cs="Times New Roman" w:eastAsia="Times New Roman" w:hAnsi="Times New Roman"/>
          <w:sz w:val="21"/>
          <w:szCs w:val="21"/>
        </w:rPr>
        <w:t xml:space="preserve">Ouagadougou, Burkina Faso</w:t>
      </w:r>
    </w:p>
    <w:p>
      <w:pPr>
        <w:pBdr>
          <w:bottom w:val="single" w:color="CCCCCC" w:sz="6" w:space="1"/>
        </w:pBdr>
        <w:spacing w:after="300"/>
      </w:pPr>
    </w:p>
    <w:p>
      <w:pPr>
        <w:spacing w:after="200" w:before="500"/>
        <w:jc w:val="center"/>
      </w:pPr>
      <w:r>
        <w:rPr>
          <w:rFonts w:ascii="Times New Roman" w:cs="Times New Roman" w:eastAsia="Times New Roman" w:hAnsi="Times New Roman"/>
          <w:b/>
          <w:bCs/>
          <w:sz w:val="30"/>
          <w:szCs w:val="30"/>
        </w:rPr>
        <w:t xml:space="preserve">MÉMOIRE</w:t>
      </w:r>
    </w:p>
    <w:p>
      <w:pPr>
        <w:spacing w:after="200"/>
        <w:jc w:val="center"/>
      </w:pPr>
      <w:r>
        <w:rPr>
          <w:rFonts w:ascii="Times New Roman" w:cs="Times New Roman" w:eastAsia="Times New Roman" w:hAnsi="Times New Roman"/>
          <w:sz w:val="22"/>
          <w:szCs w:val="22"/>
        </w:rPr>
        <w:t xml:space="preserve">présenté en vue de l'obtention du</w:t>
      </w:r>
    </w:p>
    <w:p>
      <w:pPr>
        <w:spacing w:after="200"/>
        <w:jc w:val="center"/>
      </w:pPr>
      <w:r>
        <w:rPr>
          <w:rFonts w:ascii="Times New Roman" w:cs="Times New Roman" w:eastAsia="Times New Roman" w:hAnsi="Times New Roman"/>
          <w:b/>
          <w:bCs/>
          <w:color w:val="0B2545"/>
          <w:sz w:val="26"/>
          <w:szCs w:val="26"/>
        </w:rPr>
        <w:t xml:space="preserve">MASTER EN DÉMOGRAPHIE</w:t>
      </w:r>
    </w:p>
    <w:p>
      <w:pPr>
        <w:spacing w:after="600"/>
        <w:jc w:val="center"/>
      </w:pPr>
      <w:r>
        <w:rPr>
          <w:rFonts w:ascii="Times New Roman" w:cs="Times New Roman" w:eastAsia="Times New Roman" w:hAnsi="Times New Roman"/>
          <w:i/>
          <w:iCs/>
          <w:sz w:val="21"/>
          <w:szCs w:val="21"/>
        </w:rPr>
        <w:t xml:space="preserve">Option : Statistique appliquée à la population et systèmes d'information démographique</w:t>
      </w:r>
    </w:p>
    <w:p>
      <w:pPr>
        <w:pBdr>
          <w:bottom w:val="single" w:color="CCCCCC" w:sz="6" w:space="1"/>
        </w:pBdr>
        <w:spacing w:after="300"/>
      </w:pPr>
    </w:p>
    <w:p>
      <w:pPr>
        <w:spacing w:after="300" w:before="500"/>
        <w:jc w:val="center"/>
      </w:pPr>
      <w:r>
        <w:rPr>
          <w:rFonts w:ascii="Times New Roman" w:cs="Times New Roman" w:eastAsia="Times New Roman" w:hAnsi="Times New Roman"/>
          <w:b/>
          <w:bCs/>
          <w:color w:val="0B2545"/>
          <w:sz w:val="26"/>
          <w:szCs w:val="26"/>
        </w:rPr>
        <w:t xml:space="preserve">CONCEPTION ET DÉVELOPPEMENT D'UN ASSISTANT CONVERSATIONNEL FONDÉ SUR L'INTELLIGENCE ARTIFICIELLE GÉNÉRATIVE ET LA GÉNÉRATION AUGMENTÉE PAR RÉCUPÉRATION (RAG) POUR L'EXPLOITATION DES DONNÉES DE L'OBSERVATOIRE DE POPULATION DE OUAGADOUGOU</w:t>
      </w:r>
    </w:p>
    <w:p>
      <w:pPr>
        <w:spacing w:after="100"/>
        <w:jc w:val="center"/>
      </w:pPr>
      <w:r>
        <w:rPr>
          <w:rFonts w:ascii="Times New Roman" w:cs="Times New Roman" w:eastAsia="Times New Roman" w:hAnsi="Times New Roman"/>
          <w:i/>
          <w:iCs/>
          <w:sz w:val="22"/>
          <w:szCs w:val="22"/>
        </w:rPr>
        <w:t xml:space="preserve">Du dictionnaire de variables au contrôle automatisé de la qualité des données de collecte de terrain</w:t>
      </w:r>
    </w:p>
    <w:p>
      <w:pPr>
        <w:spacing w:after="100" w:before="700"/>
        <w:jc w:val="center"/>
      </w:pPr>
      <w:r>
        <w:rPr>
          <w:rFonts w:ascii="Times New Roman" w:cs="Times New Roman" w:eastAsia="Times New Roman" w:hAnsi="Times New Roman"/>
          <w:sz w:val="21"/>
          <w:szCs w:val="21"/>
        </w:rPr>
        <w:t xml:space="preserve">Présenté par</w:t>
      </w:r>
    </w:p>
    <w:p>
      <w:pPr>
        <w:spacing w:after="500"/>
        <w:jc w:val="center"/>
      </w:pPr>
      <w:r>
        <w:rPr>
          <w:rFonts w:ascii="Times New Roman" w:cs="Times New Roman" w:eastAsia="Times New Roman" w:hAnsi="Times New Roman"/>
          <w:b/>
          <w:bCs/>
          <w:sz w:val="26"/>
          <w:szCs w:val="26"/>
        </w:rPr>
        <w:t xml:space="preserve">Mohamed Lamine SAWADOGO</w:t>
      </w:r>
    </w:p>
    <w:p>
      <w:pPr>
        <w:spacing w:after="100" w:before="400"/>
        <w:jc w:val="center"/>
      </w:pPr>
      <w:r>
        <w:rPr>
          <w:rFonts w:ascii="Times New Roman" w:cs="Times New Roman" w:eastAsia="Times New Roman" w:hAnsi="Times New Roman"/>
          <w:sz w:val="21"/>
          <w:szCs w:val="21"/>
        </w:rPr>
        <w:t xml:space="preserve">Sous la direction de</w:t>
      </w:r>
    </w:p>
    <w:p>
      <w:pPr>
        <w:spacing w:after="700"/>
        <w:jc w:val="center"/>
      </w:pPr>
      <w:r>
        <w:rPr>
          <w:rFonts w:ascii="Times New Roman" w:cs="Times New Roman" w:eastAsia="Times New Roman" w:hAnsi="Times New Roman"/>
          <w:b/>
          <w:bCs/>
          <w:i/>
          <w:iCs/>
          <w:color w:val="555555"/>
          <w:sz w:val="24"/>
          <w:szCs w:val="24"/>
        </w:rPr>
        <w:t xml:space="preserve">[Nom et titre du Directeur de mémoire]</w:t>
      </w:r>
    </w:p>
    <w:p>
      <w:pPr>
        <w:spacing w:after="0" w:before="900"/>
        <w:jc w:val="center"/>
      </w:pPr>
      <w:r>
        <w:rPr>
          <w:rFonts w:ascii="Times New Roman" w:cs="Times New Roman" w:eastAsia="Times New Roman" w:hAnsi="Times New Roman"/>
          <w:b/>
          <w:bCs/>
          <w:sz w:val="22"/>
          <w:szCs w:val="22"/>
        </w:rPr>
        <w:t xml:space="preserve">Année académique 2025 – 2026</w:t>
      </w:r>
    </w:p>
    <w:p>
      <w:r>
        <w:br w:type="page"/>
      </w:r>
    </w:p>
    <w:p>
      <w:pPr>
        <w:pStyle w:val="Heading1"/>
        <w:pageBreakBefore/>
        <w:spacing w:after="300" w:before="200"/>
      </w:pPr>
      <w:r>
        <w:rPr>
          <w:rFonts w:ascii="Times New Roman" w:cs="Times New Roman" w:eastAsia="Times New Roman" w:hAnsi="Times New Roman"/>
          <w:b/>
          <w:bCs/>
          <w:color w:val="0B2545"/>
          <w:sz w:val="32"/>
          <w:szCs w:val="32"/>
        </w:rPr>
        <w:t xml:space="preserve">Remerciements</w:t>
      </w:r>
    </w:p>
    <w:p>
      <w:pPr>
        <w:spacing w:after="200" w:line="360"/>
        <w:jc w:val="both"/>
      </w:pPr>
      <w:r>
        <w:rPr>
          <w:rFonts w:ascii="Times New Roman" w:cs="Times New Roman" w:eastAsia="Times New Roman" w:hAnsi="Times New Roman"/>
          <w:sz w:val="24"/>
          <w:szCs w:val="24"/>
        </w:rPr>
        <w:t xml:space="preserve">Je tiens à exprimer ma sincère reconnaissance à l'ensemble du corps enseignant et administratif de l'Institut Supérieur des Sciences de la Population (ISSP) pour la qualité de la formation reçue et pour l'environnement de travail qui a permis la réalisation de ce mémoire.</w:t>
      </w:r>
    </w:p>
    <w:p>
      <w:pPr>
        <w:spacing w:after="200" w:line="360"/>
        <w:jc w:val="both"/>
      </w:pPr>
      <w:r>
        <w:rPr>
          <w:rFonts w:ascii="Times New Roman" w:cs="Times New Roman" w:eastAsia="Times New Roman" w:hAnsi="Times New Roman"/>
          <w:sz w:val="24"/>
          <w:szCs w:val="24"/>
        </w:rPr>
        <w:t xml:space="preserve">Mes remerciements s'adressent tout particulièrement à [Nom et titre du Directeur de mémoire], pour l'encadrement, la disponibilité et les orientations méthodologiques apportées tout au long de ce travail.</w:t>
      </w:r>
    </w:p>
    <w:p>
      <w:pPr>
        <w:spacing w:after="200" w:line="360"/>
        <w:jc w:val="both"/>
      </w:pPr>
      <w:r>
        <w:rPr>
          <w:rFonts w:ascii="Times New Roman" w:cs="Times New Roman" w:eastAsia="Times New Roman" w:hAnsi="Times New Roman"/>
          <w:sz w:val="24"/>
          <w:szCs w:val="24"/>
        </w:rPr>
        <w:t xml:space="preserve">Je remercie également l'équipe technique et de terrain de l'Observatoire de Population de Ouagadougou, dont les besoins concrets, les retours d'usage et les tests successifs sur l'application ont directement façonné les choix de conception présentés dans ce document. Cette collaboration itérative — recueil des besoins, développement, mise à l'épreuve, correction — constitue le socle méthodologique de l'ensemble du travail.</w:t>
      </w:r>
    </w:p>
    <w:p>
      <w:pPr>
        <w:spacing w:after="200" w:line="360"/>
        <w:jc w:val="both"/>
      </w:pPr>
      <w:r>
        <w:rPr>
          <w:rFonts w:ascii="Times New Roman" w:cs="Times New Roman" w:eastAsia="Times New Roman" w:hAnsi="Times New Roman"/>
          <w:sz w:val="24"/>
          <w:szCs w:val="24"/>
        </w:rPr>
        <w:t xml:space="preserve">Enfin, que toutes les personnes ayant contribué, de près ou de loin, à ce travail — par leurs relectures, leurs suggestions ou leurs encouragements — trouvent ici l'expression de ma gratitude.</w:t>
      </w:r>
    </w:p>
    <w:p>
      <w:pPr>
        <w:pStyle w:val="Heading1"/>
        <w:pageBreakBefore/>
        <w:spacing w:after="300" w:before="200"/>
      </w:pPr>
      <w:r>
        <w:rPr>
          <w:rFonts w:ascii="Times New Roman" w:cs="Times New Roman" w:eastAsia="Times New Roman" w:hAnsi="Times New Roman"/>
          <w:b/>
          <w:bCs/>
          <w:color w:val="0B2545"/>
          <w:sz w:val="32"/>
          <w:szCs w:val="32"/>
        </w:rPr>
        <w:t xml:space="preserve">Résumé</w:t>
      </w:r>
    </w:p>
    <w:p>
      <w:pPr>
        <w:spacing w:after="200" w:line="360"/>
        <w:jc w:val="both"/>
      </w:pPr>
      <w:r>
        <w:rPr>
          <w:rFonts w:ascii="Times New Roman" w:cs="Times New Roman" w:eastAsia="Times New Roman" w:hAnsi="Times New Roman"/>
          <w:sz w:val="24"/>
          <w:szCs w:val="24"/>
        </w:rPr>
        <w:t xml:space="preserve">Les systèmes de suivi démographique et de santé (Health and Demographic Surveillance Systems, HDSS) produisent en Afrique subsaharienne des volumes croissants de données longitudinales, structurées en dizaines de tables et centaines de variables. L'Observatoire de Population de Ouagadougou (OPO), porté par l'Institut Supérieur des Sciences de la Population (ISSP), n'échappe pas à ce constat : l'exploitation quotidienne de sa base — retrouver la définition exacte d'une variable, calculer un indicateur, contrôler la cohérence des identifiants, suivre l'avancement de la collecte de terrain — repose largement sur une expertise humaine rare et sur des opérations manuelles chronophages, exposées au risque d'erreur.</w:t>
      </w:r>
    </w:p>
    <w:p>
      <w:pPr>
        <w:spacing w:after="200" w:line="360"/>
        <w:jc w:val="both"/>
      </w:pPr>
      <w:r>
        <w:rPr>
          <w:rFonts w:ascii="Times New Roman" w:cs="Times New Roman" w:eastAsia="Times New Roman" w:hAnsi="Times New Roman"/>
          <w:sz w:val="24"/>
          <w:szCs w:val="24"/>
        </w:rPr>
        <w:t xml:space="preserve">Ce mémoire présente la conception, le développement et l'évaluation d'un assistant conversationnel intelligent, dénommé « Assistant OPO », combinant deux approches complémentaires : d'une part, un module documentaire fondé sur la génération augmentée par récupération (Retrieval-Augmented Generation, RAG), qui permet d'interroger en langage naturel le dictionnaire des 23 tables et 327 variables de l'observatoire ; d'autre part, un module d'analyse déterministe qui calcule directement, par du code et jamais par un modèle de langage, des indicateurs, échantillons, tableaux croisés, corrélations, audits de cohérence et rapports de performance des agents enquêteurs sur les tables réellement déposées par l'utilisateur, quelle que soit leur structure exacte.</w:t>
      </w:r>
    </w:p>
    <w:p>
      <w:pPr>
        <w:spacing w:after="200" w:line="360"/>
        <w:jc w:val="both"/>
      </w:pPr>
      <w:r>
        <w:rPr>
          <w:rFonts w:ascii="Times New Roman" w:cs="Times New Roman" w:eastAsia="Times New Roman" w:hAnsi="Times New Roman"/>
          <w:sz w:val="24"/>
          <w:szCs w:val="24"/>
        </w:rPr>
        <w:t xml:space="preserve">La démarche méthodologique combine un recueil itératif des besoins auprès de l'équipe de l'OPO, un prototypage rapide fondé sur des choix technologiques sobres (recherche lexicale TF-IDF plutôt qu'embeddings neuronaux, interface Streamlit, fournisseur de modèle de langage interchangeable), et une validation continue par une suite de 180 tests automatisés couvrant l'ensemble des modules, complétée par des tests de bout en bout simulant de véritables conversations. Une attention particulière est portée à la gouvernance des données : suppression systématique des colonnes nominatives avant toute analyse, absence d'envoi des données brutes au modèle de langage, authentification par comptes nominatifs, gestion sécurisée des secrets applicatifs.</w:t>
      </w:r>
    </w:p>
    <w:p>
      <w:pPr>
        <w:spacing w:after="200" w:line="360"/>
        <w:jc w:val="both"/>
      </w:pPr>
      <w:r>
        <w:rPr>
          <w:rFonts w:ascii="Times New Roman" w:cs="Times New Roman" w:eastAsia="Times New Roman" w:hAnsi="Times New Roman"/>
          <w:sz w:val="24"/>
          <w:szCs w:val="24"/>
        </w:rPr>
        <w:t xml:space="preserve">Les résultats montrent qu'une architecture à deux voies — récupération documentaire pour les questions de sens, calcul déterministe pour les questions chiffrées — permet de concilier la flexibilité conversationnelle attendue d'un assistant fondé sur l'intelligence artificielle générative avec l'exigence de fiabilité propre à un système de production de statistiques. Le travail se conclut par une discussion des limites identifiées (recherche lexicale plutôt que sémantique, détection d'intention par mots-clés, rôles utilisateurs partiellement mis en œuvre) et par des perspectives d'évolution transférables à d'autres observatoires de population du réseau INDEPTH.</w:t>
      </w:r>
    </w:p>
    <w:p>
      <w:pPr>
        <w:spacing w:after="200" w:line="360"/>
        <w:jc w:val="both"/>
      </w:pPr>
      <w:r>
        <w:rPr>
          <w:rFonts w:ascii="Times New Roman" w:cs="Times New Roman" w:eastAsia="Times New Roman" w:hAnsi="Times New Roman"/>
          <w:i/>
          <w:iCs/>
          <w:sz w:val="24"/>
          <w:szCs w:val="24"/>
        </w:rPr>
        <w:t xml:space="preserve">Mots-clés : Observatoire de population, HDSS, intelligence artificielle générative, grand modèle de langage, génération augmentée par récupération (RAG), qualité des données, Burkina Faso.</w:t>
      </w:r>
    </w:p>
    <w:p>
      <w:pPr>
        <w:pStyle w:val="Heading1"/>
        <w:pageBreakBefore/>
        <w:spacing w:after="300" w:before="200"/>
      </w:pPr>
      <w:r>
        <w:rPr>
          <w:rFonts w:ascii="Times New Roman" w:cs="Times New Roman" w:eastAsia="Times New Roman" w:hAnsi="Times New Roman"/>
          <w:b/>
          <w:bCs/>
          <w:color w:val="0B2545"/>
          <w:sz w:val="32"/>
          <w:szCs w:val="32"/>
        </w:rPr>
        <w:t xml:space="preserve">Abstract</w:t>
      </w:r>
    </w:p>
    <w:p>
      <w:pPr>
        <w:spacing w:after="200" w:line="360"/>
        <w:jc w:val="both"/>
      </w:pPr>
      <w:r>
        <w:rPr>
          <w:rFonts w:ascii="Times New Roman" w:cs="Times New Roman" w:eastAsia="Times New Roman" w:hAnsi="Times New Roman"/>
          <w:sz w:val="24"/>
          <w:szCs w:val="24"/>
        </w:rPr>
        <w:t xml:space="preserve">Health and Demographic Surveillance Systems (HDSS) across sub-Saharan Africa generate increasingly large volumes of longitudinal data, organised into dozens of tables and hundreds of variables. The Ouagadougou Health and Demographic Surveillance System (Ouaga HDSS), operated by the Institut Supérieur des Sciences de la Population (ISSP), is no exception: day-to-day use of its database — retrieving the exact definition of a variable, computing an indicator, checking identifier consistency, or tracking fieldwork progress — still relies heavily on scarce human expertise and time-consuming manual operations that are prone to error.</w:t>
      </w:r>
    </w:p>
    <w:p>
      <w:pPr>
        <w:spacing w:after="200" w:line="360"/>
        <w:jc w:val="both"/>
      </w:pPr>
      <w:r>
        <w:rPr>
          <w:rFonts w:ascii="Times New Roman" w:cs="Times New Roman" w:eastAsia="Times New Roman" w:hAnsi="Times New Roman"/>
          <w:sz w:val="24"/>
          <w:szCs w:val="24"/>
        </w:rPr>
        <w:t xml:space="preserve">This dissertation presents the design, development and evaluation of an intelligent conversational assistant, named « Assistant OPO », combining two complementary approaches. First, a documentary module built on Retrieval-Augmented Generation (RAG) allows natural-language querying of the observatory's dictionary of 23 tables and 327 variables. Second, a deterministic analysis module computes indicators, samples, cross-tabulations, correlations, consistency audits and fieldworker performance reports directly through code — never through a language model — on whatever tables the user actually uploads, regardless of their exact structure.</w:t>
      </w:r>
    </w:p>
    <w:p>
      <w:pPr>
        <w:spacing w:after="200" w:line="360"/>
        <w:jc w:val="both"/>
      </w:pPr>
      <w:r>
        <w:rPr>
          <w:rFonts w:ascii="Times New Roman" w:cs="Times New Roman" w:eastAsia="Times New Roman" w:hAnsi="Times New Roman"/>
          <w:sz w:val="24"/>
          <w:szCs w:val="24"/>
        </w:rPr>
        <w:t xml:space="preserve">The methodology combines iterative requirements gathering with the OPO team, rapid prototyping based on deliberately lightweight technical choices (lexical TF-IDF retrieval rather than neural embeddings, a Streamlit interface, an interchangeable language-model provider), and continuous validation through a suite of 180 automated tests covering every module, complemented by end-to-end tests simulating real multi-turn conversations. Particular attention is given to data governance: systematic removal of nominal columns before any analysis, no transmission of raw record-level data to the language model, credential-based authentication, and secure handling of application secrets.</w:t>
      </w:r>
    </w:p>
    <w:p>
      <w:pPr>
        <w:spacing w:after="200" w:line="360"/>
        <w:jc w:val="both"/>
      </w:pPr>
      <w:r>
        <w:rPr>
          <w:rFonts w:ascii="Times New Roman" w:cs="Times New Roman" w:eastAsia="Times New Roman" w:hAnsi="Times New Roman"/>
          <w:sz w:val="24"/>
          <w:szCs w:val="24"/>
        </w:rPr>
        <w:t xml:space="preserve">The results show that a two-path architecture — document retrieval for meaning-oriented questions, deterministic computation for figure-oriented questions — reconciles the conversational flexibility expected of a generative-AI assistant with the reliability required of a statistical production system. The dissertation concludes with a discussion of identified limitations (lexical rather than semantic retrieval, keyword-based intent detection, partially implemented user roles) and outlines improvement paths that are transferable to other population observatories within the INDEPTH network.</w:t>
      </w:r>
    </w:p>
    <w:p>
      <w:pPr>
        <w:spacing w:after="200" w:line="360"/>
        <w:jc w:val="both"/>
      </w:pPr>
      <w:r>
        <w:rPr>
          <w:rFonts w:ascii="Times New Roman" w:cs="Times New Roman" w:eastAsia="Times New Roman" w:hAnsi="Times New Roman"/>
          <w:i/>
          <w:iCs/>
          <w:sz w:val="24"/>
          <w:szCs w:val="24"/>
        </w:rPr>
        <w:t xml:space="preserve">Keywords: Population observatory, HDSS, generative artificial intelligence, large language model, Retrieval-Augmented Generation (RAG), data quality, Burkina Faso.</w:t>
      </w:r>
    </w:p>
    <w:p>
      <w:pPr>
        <w:pStyle w:val="Heading1"/>
        <w:pageBreakBefore/>
        <w:spacing w:after="300" w:before="200"/>
      </w:pPr>
      <w:r>
        <w:rPr>
          <w:rFonts w:ascii="Times New Roman" w:cs="Times New Roman" w:eastAsia="Times New Roman" w:hAnsi="Times New Roman"/>
          <w:b/>
          <w:bCs/>
          <w:color w:val="0B2545"/>
          <w:sz w:val="32"/>
          <w:szCs w:val="32"/>
        </w:rPr>
        <w:t xml:space="preserve">Liste des sigles et abréviations</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API : Application Programming Interface (interface de programmation applicative)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CSV : Comma-Separated Values</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HDSS : Health and Demographic Surveillance System (système de surveillance démographique et de santé)</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IA : Intelligence artificielle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INDEPTH : International Network for the Demographic Evaluation of Populations and Their Health</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INSD : Institut National de la Statistique et de la Démographie (Burkina Faso)</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ISSP : Institut Supérieur des Sciences de la Population</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LLM : Large Language Model (grand modèle de langage)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OPO : Observatoire de Population de Ouagadougou (Ouaga HDSS)</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RAG : Retrieval-Augmented Generation (génération augmentée par récupération)</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TF-IDF : Term Frequency – Inverse Document Frequency</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UCH : Unité collective d'habitation</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VPS : Virtual Private Server</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YAML : YAML Ain't Markup Language (format de fichier de configuration)</w:t>
      </w:r>
    </w:p>
    <w:p>
      <w:pPr>
        <w:pStyle w:val="Heading1"/>
        <w:pageBreakBefore/>
        <w:spacing w:after="300" w:before="200"/>
      </w:pPr>
      <w:r>
        <w:rPr>
          <w:rFonts w:ascii="Times New Roman" w:cs="Times New Roman" w:eastAsia="Times New Roman" w:hAnsi="Times New Roman"/>
          <w:b/>
          <w:bCs/>
          <w:color w:val="0B2545"/>
          <w:sz w:val="32"/>
          <w:szCs w:val="32"/>
        </w:rPr>
        <w:t xml:space="preserve">Sommaire</w:t>
      </w:r>
    </w:p>
    <w:p>
      <w:pPr>
        <w:spacing w:after="300"/>
      </w:pPr>
      <w:r>
        <w:rPr>
          <w:rFonts w:ascii="Times New Roman" w:cs="Times New Roman" w:eastAsia="Times New Roman" w:hAnsi="Times New Roman"/>
          <w:i/>
          <w:iCs/>
          <w:color w:val="555555"/>
          <w:sz w:val="20"/>
          <w:szCs w:val="20"/>
        </w:rPr>
        <w:t xml:space="preserve">(Table des matières générée automatiquement : clic droit sur cette zone puis « Mettre à jour les champs », ou touche F9, pour afficher la pagination réelle après ouverture dans Word.)</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300" w:before="200"/>
      </w:pPr>
      <w:r>
        <w:rPr>
          <w:rFonts w:ascii="Times New Roman" w:cs="Times New Roman" w:eastAsia="Times New Roman" w:hAnsi="Times New Roman"/>
          <w:b/>
          <w:bCs/>
          <w:color w:val="0B2545"/>
          <w:sz w:val="32"/>
          <w:szCs w:val="32"/>
        </w:rPr>
        <w:t xml:space="preserve">Introduction générale</w:t>
      </w:r>
    </w:p>
    <w:p>
      <w:pPr>
        <w:spacing w:after="200" w:line="360"/>
        <w:jc w:val="both"/>
      </w:pPr>
      <w:r>
        <w:rPr>
          <w:rFonts w:ascii="Times New Roman" w:cs="Times New Roman" w:eastAsia="Times New Roman" w:hAnsi="Times New Roman"/>
          <w:sz w:val="24"/>
          <w:szCs w:val="24"/>
        </w:rPr>
        <w:t xml:space="preserve">Depuis le début des années 2020, l'essor des grands modèles de langage (Large Language Models, LLM) et des architectures de génération augmentée par récupération (Retrieval-Augmented Generation, RAG) a profondément renouvelé les possibilités d'accès à l'information au sein des organisations. Ces technologies permettent, en principe, d'interroger en langage naturel des corpus documentaires volumineux et hétérogènes, sans recourir à une syntaxe de requête formelle. Leur adoption dans les institutions productrices de statistiques et de données de population reste toutefois encore limitée, en particulier en Afrique subsaharienne, où la priorité est longtemps restée la numérisation même de la collecte de données plutôt que l'exploitation avancée des bases ainsi constituées.</w:t>
      </w:r>
    </w:p>
    <w:p>
      <w:pPr>
        <w:spacing w:after="200" w:line="360"/>
        <w:jc w:val="both"/>
      </w:pPr>
      <w:r>
        <w:rPr>
          <w:rFonts w:ascii="Times New Roman" w:cs="Times New Roman" w:eastAsia="Times New Roman" w:hAnsi="Times New Roman"/>
          <w:sz w:val="24"/>
          <w:szCs w:val="24"/>
        </w:rPr>
        <w:t xml:space="preserve">Les systèmes de surveillance démographique et de santé (Health and Demographic Surveillance Systems, HDSS), regroupés au sein du réseau international INDEPTH, occupent à cet égard une position particulière. Ils produisent, par des visites répétées de ménages sur un territoire circonscrit, des données longitudinales individuelles sur les naissances, décès, migrations, unions et événements de santé, organisées en un schéma relationnel complexe de plusieurs dizaines de tables. L'Observatoire de Population de Ouagadougou (OPO), établi par l'Institut Supérieur des Sciences de la Population (ISSP) et opérationnel depuis 2008 dans cinq quartiers de la périphérie de Ouagadougou, en constitue une illustration représentative : sa base de données compte 23 tables et 327 variables, exploitées quotidiennement par une équipe de recherche et une équipe de terrain (agents enquêteurs et contrôleurs).</w:t>
      </w:r>
    </w:p>
    <w:p>
      <w:pPr>
        <w:spacing w:after="200" w:line="360"/>
        <w:jc w:val="both"/>
      </w:pPr>
      <w:r>
        <w:rPr>
          <w:rFonts w:ascii="Times New Roman" w:cs="Times New Roman" w:eastAsia="Times New Roman" w:hAnsi="Times New Roman"/>
          <w:sz w:val="24"/>
          <w:szCs w:val="24"/>
        </w:rPr>
        <w:t xml:space="preserve">L'exploitation de cette base pose, en pratique, trois catégories de difficultés récurrentes. La première est documentaire : retrouver la définition exacte, les modalités et la table d'appartenance d'une variable suppose de naviguer dans un dictionnaire de données volumineux, tâche que seules quelques personnes expérimentées accomplissent rapidement. La deuxième est analytique : le calcul d'un indicateur, d'un échantillon reproductible ou d'un contrôle de cohérence sur une table déposée nécessite une compétence en manipulation de données (R, Stata ou Python) qui n'est pas universellement partagée au sein de l'équipe. La troisième est opérationnelle : le suivi de l'avancement de la collecte de terrain (ménages visités, objectifs, performance par agent) repose sur des agrégations manuelles répétées, réalisées à partir de plusieurs fichiers distincts.</w:t>
      </w:r>
    </w:p>
    <w:p>
      <w:pPr>
        <w:spacing w:after="200" w:line="360"/>
        <w:jc w:val="both"/>
      </w:pPr>
      <w:r>
        <w:rPr>
          <w:rFonts w:ascii="Times New Roman" w:cs="Times New Roman" w:eastAsia="Times New Roman" w:hAnsi="Times New Roman"/>
          <w:sz w:val="24"/>
          <w:szCs w:val="24"/>
        </w:rPr>
        <w:t xml:space="preserve">C'est dans ce contexte qu'a été engagée la conception d'un assistant conversationnel intelligent, dénommé « Assistant OPO », destiné à répondre à ces trois catégories de besoins au sein d'une seule et même interface, accessible sans compétence de programmation préalable. Le pari central du présent travail est qu'une architecture combinant récupération documentaire (pour les questions de sens) et calcul déterministe par du code (pour les questions chiffrées) permet de bénéficier de la flexibilité conversationnelle de l'intelligence artificielle générative sans en hériter le principal défaut pour un usage statistique : le risque d'hallucination, c'est-à-dire la production de réponses plausibles mais factuellement erronées.</w:t>
      </w:r>
    </w:p>
    <w:p>
      <w:pPr>
        <w:pStyle w:val="Heading2"/>
        <w:spacing w:after="200" w:before="300"/>
      </w:pPr>
      <w:r>
        <w:rPr>
          <w:rFonts w:ascii="Times New Roman" w:cs="Times New Roman" w:eastAsia="Times New Roman" w:hAnsi="Times New Roman"/>
          <w:b/>
          <w:bCs/>
          <w:color w:val="0B2545"/>
          <w:sz w:val="27"/>
          <w:szCs w:val="27"/>
        </w:rPr>
        <w:t xml:space="preserve">Problématique</w:t>
      </w:r>
    </w:p>
    <w:p>
      <w:pPr>
        <w:spacing w:after="200" w:line="360"/>
        <w:jc w:val="both"/>
      </w:pPr>
      <w:r>
        <w:rPr>
          <w:rFonts w:ascii="Times New Roman" w:cs="Times New Roman" w:eastAsia="Times New Roman" w:hAnsi="Times New Roman"/>
          <w:sz w:val="24"/>
          <w:szCs w:val="24"/>
        </w:rPr>
        <w:t xml:space="preserve">La question centrale de ce mémoire peut se formuler ainsi : comment concevoir un assistant fondé sur l'intelligence artificielle générative qui améliore réellement l'accessibilité et la qualité de l'exploitation d'une base de données démographiques et de santé, sans compromettre la fiabilité des résultats chiffrés qu'exige un usage statistique et scientifique ? Cette question se décline en trois sous-questions : (i) quelle architecture technique permet de limiter le risque d'hallucination inhérent aux grands modèles de langage lorsqu'ils sont mobilisés sur des données sensibles et chiffrées ? (ii) comment concevoir un module d'analyse capable de s'adapter à des tables dont la structure exacte n'est pas connue à l'avance, sans imposer un schéma figé ? (iii) quelles garanties de confidentialité et de gouvernance des données doivent encadrer un tel système, compte tenu de la sensibilité des données individuelles collectées par un observatoire de population ?</w:t>
      </w:r>
    </w:p>
    <w:p>
      <w:pPr>
        <w:pStyle w:val="Heading2"/>
        <w:spacing w:after="200" w:before="300"/>
      </w:pPr>
      <w:r>
        <w:rPr>
          <w:rFonts w:ascii="Times New Roman" w:cs="Times New Roman" w:eastAsia="Times New Roman" w:hAnsi="Times New Roman"/>
          <w:b/>
          <w:bCs/>
          <w:color w:val="0B2545"/>
          <w:sz w:val="27"/>
          <w:szCs w:val="27"/>
        </w:rPr>
        <w:t xml:space="preserve">Objectifs de l'étude</w:t>
      </w:r>
    </w:p>
    <w:p>
      <w:pPr>
        <w:spacing w:after="200" w:line="360"/>
        <w:jc w:val="both"/>
      </w:pPr>
      <w:r>
        <w:rPr>
          <w:rFonts w:ascii="Times New Roman" w:cs="Times New Roman" w:eastAsia="Times New Roman" w:hAnsi="Times New Roman"/>
          <w:sz w:val="24"/>
          <w:szCs w:val="24"/>
        </w:rPr>
        <w:t xml:space="preserve">L'objectif général de ce travail est de concevoir, développer et évaluer un assistant conversationnel intelligent pour l'exploitation des données de l'Observatoire de Population de Ouagadougou, articulant recherche documentaire et analyse déterministe de données.</w:t>
      </w:r>
    </w:p>
    <w:p>
      <w:pPr>
        <w:spacing w:after="200" w:line="360"/>
        <w:jc w:val="both"/>
      </w:pPr>
      <w:r>
        <w:rPr>
          <w:rFonts w:ascii="Times New Roman" w:cs="Times New Roman" w:eastAsia="Times New Roman" w:hAnsi="Times New Roman"/>
          <w:sz w:val="24"/>
          <w:szCs w:val="24"/>
        </w:rPr>
        <w:t xml:space="preserve">Trois objectifs spécifiques en découlent :</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Concevoir et mettre en œuvre un module documentaire de type RAG permettant d'interroger en langage naturel le dictionnaire de variables de l'observatoire, avec citation des sources et absence de réponse en cas d'information non trouvée ;</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Concevoir et mettre en œuvre un module d'analyse déterministe capable de calculer, sans intervention d'un modèle de langage, des indicateurs, échantillons, tableaux croisés, corrélations et audits de cohérence sur une ou plusieurs tables déposées, en détectant automatiquement leur structure ;</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Concevoir et mettre en œuvre les garde-fous de confidentialité, de sécurité et de gouvernance nécessaires à un déploiement partagé au sein de l'équipe de l'observatoire (authentification, retrait des données nominatives, gestion des secrets applicatifs), et valider l'ensemble par une suite de tests automatisés.</w:t>
      </w:r>
    </w:p>
    <w:p>
      <w:pPr>
        <w:pStyle w:val="Heading2"/>
        <w:spacing w:after="200" w:before="300"/>
      </w:pPr>
      <w:r>
        <w:rPr>
          <w:rFonts w:ascii="Times New Roman" w:cs="Times New Roman" w:eastAsia="Times New Roman" w:hAnsi="Times New Roman"/>
          <w:b/>
          <w:bCs/>
          <w:color w:val="0B2545"/>
          <w:sz w:val="27"/>
          <w:szCs w:val="27"/>
        </w:rPr>
        <w:t xml:space="preserve">Intérêt et justification du sujet</w:t>
      </w:r>
    </w:p>
    <w:p>
      <w:pPr>
        <w:spacing w:after="200" w:line="360"/>
        <w:jc w:val="both"/>
      </w:pPr>
      <w:r>
        <w:rPr>
          <w:rFonts w:ascii="Times New Roman" w:cs="Times New Roman" w:eastAsia="Times New Roman" w:hAnsi="Times New Roman"/>
          <w:sz w:val="24"/>
          <w:szCs w:val="24"/>
        </w:rPr>
        <w:t xml:space="preserve">Sur le plan opérationnel, ce travail répond à un besoin exprimé directement par l'équipe de l'OPO : réduire le temps consacré aux tâches répétitives de recherche documentaire et de calcul d'indicateurs, et fiabiliser le contrôle de la qualité des données de collecte. Sur le plan scientifique, il contribue à la réflexion, encore peu documentée dans le contexte des observatoires de population africains, sur les conditions d'un usage responsable de l'intelligence artificielle générative appliquée à des données démographiques sensibles. Sur le plan méthodologique, enfin, il illustre une démarche de conception centrée sur l'utilisateur, itérative, dans laquelle chaque fonctionnalité résulte d'un besoin concret exprimé par l'équipe de terrain plutôt que d'une anticipation théorique des usages.</w:t>
      </w:r>
    </w:p>
    <w:p>
      <w:pPr>
        <w:pStyle w:val="Heading2"/>
        <w:spacing w:after="200" w:before="300"/>
      </w:pPr>
      <w:r>
        <w:rPr>
          <w:rFonts w:ascii="Times New Roman" w:cs="Times New Roman" w:eastAsia="Times New Roman" w:hAnsi="Times New Roman"/>
          <w:b/>
          <w:bCs/>
          <w:color w:val="0B2545"/>
          <w:sz w:val="27"/>
          <w:szCs w:val="27"/>
        </w:rPr>
        <w:t xml:space="preserve">Démarche méthodologique et annonce du plan</w:t>
      </w:r>
    </w:p>
    <w:p>
      <w:pPr>
        <w:spacing w:after="200" w:line="360"/>
        <w:jc w:val="both"/>
      </w:pPr>
      <w:r>
        <w:rPr>
          <w:rFonts w:ascii="Times New Roman" w:cs="Times New Roman" w:eastAsia="Times New Roman" w:hAnsi="Times New Roman"/>
          <w:sz w:val="24"/>
          <w:szCs w:val="24"/>
        </w:rPr>
        <w:t xml:space="preserve">La démarche suivie combine recueil itératif des besoins, prototypage rapide et validation continue par les tests, détaillée au chapitre 3. Le présent mémoire est structuré en six chapitres. Le premier chapitre présente le contexte institutionnel de l'ISSP et de l'OPO ainsi que la problématique opérationnelle qui a motivé le projet. Le deuxième chapitre propose une revue de la littérature sur les systèmes de surveillance démographique et de santé, l'intelligence artificielle générative, la génération augmentée par récupération et les enjeux de gouvernance des données qui s'y rattachent. Le troisième chapitre expose la méthodologie de conception et de développement retenue. Le quatrième chapitre décrit en détail l'architecture et la réalisation technique du système. Le cinquième chapitre présente les résultats obtenus et leur évaluation, notamment au travers de la suite de tests automatisés. Le sixième chapitre discute les résultats, les limites du travail et les perspectives d'évolution, avant une conclusion générale.</w:t>
      </w:r>
    </w:p>
    <w:p>
      <w:pPr>
        <w:pStyle w:val="Heading1"/>
        <w:pageBreakBefore/>
        <w:spacing w:after="300" w:before="200"/>
      </w:pPr>
      <w:r>
        <w:rPr>
          <w:rFonts w:ascii="Times New Roman" w:cs="Times New Roman" w:eastAsia="Times New Roman" w:hAnsi="Times New Roman"/>
          <w:b/>
          <w:bCs/>
          <w:color w:val="0B2545"/>
          <w:sz w:val="32"/>
          <w:szCs w:val="32"/>
        </w:rPr>
        <w:t xml:space="preserve">Chapitre 1 — Contexte institutionnel et problématique opérationnelle</w:t>
      </w:r>
    </w:p>
    <w:p>
      <w:pPr>
        <w:pStyle w:val="Heading2"/>
        <w:spacing w:after="200" w:before="300"/>
      </w:pPr>
      <w:r>
        <w:rPr>
          <w:rFonts w:ascii="Times New Roman" w:cs="Times New Roman" w:eastAsia="Times New Roman" w:hAnsi="Times New Roman"/>
          <w:b/>
          <w:bCs/>
          <w:color w:val="0B2545"/>
          <w:sz w:val="27"/>
          <w:szCs w:val="27"/>
        </w:rPr>
        <w:t xml:space="preserve">1.1 L'Institut Supérieur des Sciences de la Population et l'Observatoire de Population de Ouagadougou</w:t>
      </w:r>
    </w:p>
    <w:p>
      <w:pPr>
        <w:spacing w:after="200" w:line="360"/>
        <w:jc w:val="both"/>
      </w:pPr>
      <w:r>
        <w:rPr>
          <w:rFonts w:ascii="Times New Roman" w:cs="Times New Roman" w:eastAsia="Times New Roman" w:hAnsi="Times New Roman"/>
          <w:sz w:val="24"/>
          <w:szCs w:val="24"/>
        </w:rPr>
        <w:t xml:space="preserve">L'Institut Supérieur des Sciences de la Population (ISSP), rattaché à l'Université Joseph Ki-Zerbo de Ouagadougou, est un centre de formation et de recherche en démographie de référence en Afrique de l'Ouest francophone. Il porte, depuis le début des années 2000, l'Observatoire de Population de Ouagadougou (OPO, plus connu dans la littérature internationale sous le nom de Ouaga HDSS), un dispositif pilote de suivi démographique mis en place progressivement à partir de 2002 puis formellement établi en 2008 dans cinq quartiers de la périphérie nord de la capitale burkinabè.</w:t>
      </w:r>
    </w:p>
    <w:p>
      <w:pPr>
        <w:spacing w:after="200" w:line="360"/>
        <w:jc w:val="both"/>
      </w:pPr>
      <w:r>
        <w:rPr>
          <w:rFonts w:ascii="Times New Roman" w:cs="Times New Roman" w:eastAsia="Times New Roman" w:hAnsi="Times New Roman"/>
          <w:sz w:val="24"/>
          <w:szCs w:val="24"/>
        </w:rPr>
        <w:t xml:space="preserve">Ce dispositif présente la particularité d'avoir été conçu pour contraster deux types de quartiers : deux quartiers dits « lotis », bénéficiant d'un accès régulier aux services publics (Kilwin et Tanghin), et trois quartiers dits « non lotis » ou spontanés, dépourvus de cet accès (Nonghin, Polesgo et Nioko 2), afin de documenter les inégalités de santé entre populations urbaines pauvres et populations mieux desservies. L'OPO suit ainsi une population d'environ 80 000 personnes, répartie à parts sensiblement égales entre les deux types de quartiers, au moyen de visites de ménages répétées à intervalles réguliers. Il constitue à ce jour le seul observatoire de population urbain d'Afrique de l'Ouest, et est membre du réseau international INDEPTH depuis le milieu des années 2000.</w:t>
      </w:r>
    </w:p>
    <w:p>
      <w:pPr>
        <w:pStyle w:val="Heading2"/>
        <w:spacing w:after="200" w:before="300"/>
      </w:pPr>
      <w:r>
        <w:rPr>
          <w:rFonts w:ascii="Times New Roman" w:cs="Times New Roman" w:eastAsia="Times New Roman" w:hAnsi="Times New Roman"/>
          <w:b/>
          <w:bCs/>
          <w:color w:val="0B2545"/>
          <w:sz w:val="27"/>
          <w:szCs w:val="27"/>
        </w:rPr>
        <w:t xml:space="preserve">1.2 Structure des données de l'observatoire</w:t>
      </w:r>
    </w:p>
    <w:p>
      <w:pPr>
        <w:spacing w:after="200" w:line="360"/>
        <w:jc w:val="both"/>
      </w:pPr>
      <w:r>
        <w:rPr>
          <w:rFonts w:ascii="Times New Roman" w:cs="Times New Roman" w:eastAsia="Times New Roman" w:hAnsi="Times New Roman"/>
          <w:sz w:val="24"/>
          <w:szCs w:val="24"/>
        </w:rPr>
        <w:t xml:space="preserve">La base de données de l'OPO est organisée selon une architecture relationnelle typique des HDSS : des tables d'entités centrales (individus, ménages, unités collectives d'habitation), des tables d'épisodes (résidence, union), et des tables d'événements démographiques et de santé (naissances, décès, migrations, grossesses, et fiches thématiques telles que l'éducation, l'emploi, la santé ou la pauvreté subjective). Au total, la base compte 23 tables et 327 variables, reliées entre elles par des clés d'identification individuelles et des identifiants de ménage ou de localisation. Cette richesse structurelle, si elle constitue la valeur scientifique de l'observatoire, en complique corrélativement l'exploitation directe par une personne qui n'en maîtrise pas le schéma dans le détail.</w:t>
      </w:r>
    </w:p>
    <w:p>
      <w:pPr>
        <w:pStyle w:val="Heading2"/>
        <w:spacing w:after="200" w:before="300"/>
      </w:pPr>
      <w:r>
        <w:rPr>
          <w:rFonts w:ascii="Times New Roman" w:cs="Times New Roman" w:eastAsia="Times New Roman" w:hAnsi="Times New Roman"/>
          <w:b/>
          <w:bCs/>
          <w:color w:val="0B2545"/>
          <w:sz w:val="27"/>
          <w:szCs w:val="27"/>
        </w:rPr>
        <w:t xml:space="preserve">1.3 Constats et difficultés opérationnelles</w:t>
      </w:r>
    </w:p>
    <w:p>
      <w:pPr>
        <w:spacing w:after="200" w:line="360"/>
        <w:jc w:val="both"/>
      </w:pPr>
      <w:r>
        <w:rPr>
          <w:rFonts w:ascii="Times New Roman" w:cs="Times New Roman" w:eastAsia="Times New Roman" w:hAnsi="Times New Roman"/>
          <w:sz w:val="24"/>
          <w:szCs w:val="24"/>
        </w:rPr>
        <w:t xml:space="preserve">Trois constats ont motivé le présent projet, recueillis directement auprès de l'équipe de l'OPO au cours de la phase de cadrage. Premièrement, l'accès à la signification exacte d'une variable — son nom technique, sa table d'appartenance, ses modalités de réponse — repose sur la consultation d'un dictionnaire de données au format tableur, dont la navigation est chronophage pour toute personne ne l'ayant pas mémorisé. Deuxièmement, le calcul d'un indicateur simple (répartition, échantillon, tableau croisé) ou d'un contrôle de cohérence sur une table de collecte suppose une compétence en manipulation de données que seule une partie de l'équipe possède, créant un goulot d'étranglement autour des personnes en mesure d'écrire du code R, Stata ou Python. Troisièmement, le suivi de l'avancement de la collecte de terrain — nombre de ménages visités, comparaison à un objectif, performance par agent enquêteur — nécessite une agrégation manuelle répétée à partir de plusieurs fichiers, source potentielle d'erreurs et de retard dans la prise de décision opérationnelle.</w:t>
      </w:r>
    </w:p>
    <w:p>
      <w:pPr>
        <w:spacing w:after="200" w:line="360"/>
        <w:jc w:val="both"/>
      </w:pPr>
      <w:r>
        <w:rPr>
          <w:rFonts w:ascii="Times New Roman" w:cs="Times New Roman" w:eastAsia="Times New Roman" w:hAnsi="Times New Roman"/>
          <w:sz w:val="24"/>
          <w:szCs w:val="24"/>
        </w:rPr>
        <w:t xml:space="preserve">À ces trois constats s'ajoute une exigence transversale, non négociable pour une institution de recherche manipulant des données individuelles : quel que soit l'outil retenu, aucune réponse chiffrée ne doit pouvoir être « inventée » par un système automatisé, et aucune donnée nominative ne doit être exposée sans contrôle strict, y compris à un service tiers de modèle de langage.</w:t>
      </w:r>
    </w:p>
    <w:p>
      <w:pPr>
        <w:pStyle w:val="Heading2"/>
        <w:spacing w:after="200" w:before="300"/>
      </w:pPr>
      <w:r>
        <w:rPr>
          <w:rFonts w:ascii="Times New Roman" w:cs="Times New Roman" w:eastAsia="Times New Roman" w:hAnsi="Times New Roman"/>
          <w:b/>
          <w:bCs/>
          <w:color w:val="0B2545"/>
          <w:sz w:val="27"/>
          <w:szCs w:val="27"/>
        </w:rPr>
        <w:t xml:space="preserve">1.4 Problématique</w:t>
      </w:r>
    </w:p>
    <w:p>
      <w:pPr>
        <w:spacing w:after="200" w:line="360"/>
        <w:jc w:val="both"/>
      </w:pPr>
      <w:r>
        <w:rPr>
          <w:rFonts w:ascii="Times New Roman" w:cs="Times New Roman" w:eastAsia="Times New Roman" w:hAnsi="Times New Roman"/>
          <w:sz w:val="24"/>
          <w:szCs w:val="24"/>
        </w:rPr>
        <w:t xml:space="preserve">Face à ces constats, la problématique retenue pour ce travail est la suivante : les outils d'intelligence artificielle générative, dont la popularité et l'accessibilité ont fortement progressé, peuvent-ils être mobilisés pour fluidifier l'accès documentaire et le calcul d'indicateurs au sein d'un observatoire de population, sans introduire un risque inacceptable d'erreur factuelle sur des résultats à vocation scientifique ou opérationnelle ? Cette problématique se prête à une réponse de nature technique et méthodologique plutôt que purement théorique, ce qui justifie le choix d'un travail de conception et de développement appliqué, documenté et évalué selon une démarche scientifique rigoureuse.</w:t>
      </w:r>
    </w:p>
    <w:p>
      <w:pPr>
        <w:pStyle w:val="Heading2"/>
        <w:spacing w:after="200" w:before="300"/>
      </w:pPr>
      <w:r>
        <w:rPr>
          <w:rFonts w:ascii="Times New Roman" w:cs="Times New Roman" w:eastAsia="Times New Roman" w:hAnsi="Times New Roman"/>
          <w:b/>
          <w:bCs/>
          <w:color w:val="0B2545"/>
          <w:sz w:val="27"/>
          <w:szCs w:val="27"/>
        </w:rPr>
        <w:t xml:space="preserve">1.5 Comparaison avec les pratiques d'autres sites du réseau INDEPTH</w:t>
      </w:r>
    </w:p>
    <w:p>
      <w:pPr>
        <w:spacing w:after="200" w:line="360"/>
        <w:jc w:val="both"/>
      </w:pPr>
      <w:r>
        <w:rPr>
          <w:rFonts w:ascii="Times New Roman" w:cs="Times New Roman" w:eastAsia="Times New Roman" w:hAnsi="Times New Roman"/>
          <w:sz w:val="24"/>
          <w:szCs w:val="24"/>
        </w:rPr>
        <w:t xml:space="preserve">La difficulté d'exploitation documentaire et analytique d'une base HDSS n'est pas propre à l'OPO : elle est structurellement liée à la richesse des schémas de données longitudinales adoptés par l'ensemble des sites du réseau INDEPTH, où plusieurs dizaines de tables et de variables sont la norme plutôt que l'exception. La littérature évoquée au chapitre 2 montre que les efforts de modernisation numérique de ces sites se sont historiquement concentrés sur la phase de collecte (numérisation du questionnaire, contrôle de saisie en temps réel via des plateformes comme ODK ou OpenHDS), laissant la phase d'exploitation en aval — recherche documentaire, calcul d'indicateurs, contrôle de cohérence a posteriori — largement dépendante de compétences individuelles et d'outils ad hoc, souvent développés site par site sans mutualisation. Le présent travail se positionne précisément dans cet espace encore peu couvert, ce qui constitue à la fois son intérêt scientifique propre et une partie de sa transférabilité potentielle, discutée au chapitre 6.</w:t>
      </w:r>
    </w:p>
    <w:p>
      <w:pPr>
        <w:pStyle w:val="Heading2"/>
        <w:spacing w:after="200" w:before="300"/>
      </w:pPr>
      <w:r>
        <w:rPr>
          <w:rFonts w:ascii="Times New Roman" w:cs="Times New Roman" w:eastAsia="Times New Roman" w:hAnsi="Times New Roman"/>
          <w:b/>
          <w:bCs/>
          <w:color w:val="0B2545"/>
          <w:sz w:val="27"/>
          <w:szCs w:val="27"/>
        </w:rPr>
        <w:t xml:space="preserve">1.6 Objectifs et intérêt du sujet (rappel)</w:t>
      </w:r>
    </w:p>
    <w:p>
      <w:pPr>
        <w:spacing w:after="200" w:line="360"/>
        <w:jc w:val="both"/>
      </w:pPr>
      <w:r>
        <w:rPr>
          <w:rFonts w:ascii="Times New Roman" w:cs="Times New Roman" w:eastAsia="Times New Roman" w:hAnsi="Times New Roman"/>
          <w:sz w:val="24"/>
          <w:szCs w:val="24"/>
        </w:rPr>
        <w:t xml:space="preserve">Les objectifs généraux et spécifiques de l'étude, ainsi que son intérêt scientifique et opérationnel, ont été présentés dans l'introduction générale ; ils structurent l'ensemble de la démarche décrite dans les chapitres suivants et ne sont pas repris in extenso ici pour éviter toute redondance.</w:t>
      </w:r>
    </w:p>
    <w:p>
      <w:pPr>
        <w:pStyle w:val="Heading1"/>
        <w:pageBreakBefore/>
        <w:spacing w:after="300" w:before="200"/>
      </w:pPr>
      <w:r>
        <w:rPr>
          <w:rFonts w:ascii="Times New Roman" w:cs="Times New Roman" w:eastAsia="Times New Roman" w:hAnsi="Times New Roman"/>
          <w:b/>
          <w:bCs/>
          <w:color w:val="0B2545"/>
          <w:sz w:val="32"/>
          <w:szCs w:val="32"/>
        </w:rPr>
        <w:t xml:space="preserve">Chapitre 2 — Revue de la littérature et cadre conceptuel</w:t>
      </w:r>
    </w:p>
    <w:p>
      <w:pPr>
        <w:pStyle w:val="Heading2"/>
        <w:spacing w:after="200" w:before="300"/>
      </w:pPr>
      <w:r>
        <w:rPr>
          <w:rFonts w:ascii="Times New Roman" w:cs="Times New Roman" w:eastAsia="Times New Roman" w:hAnsi="Times New Roman"/>
          <w:b/>
          <w:bCs/>
          <w:color w:val="0B2545"/>
          <w:sz w:val="27"/>
          <w:szCs w:val="27"/>
        </w:rPr>
        <w:t xml:space="preserve">2.1 Les systèmes de surveillance démographique et de santé (HDSS) et leurs enjeux numériques</w:t>
      </w:r>
    </w:p>
    <w:p>
      <w:pPr>
        <w:spacing w:after="200" w:line="360"/>
        <w:jc w:val="both"/>
      </w:pPr>
      <w:r>
        <w:rPr>
          <w:rFonts w:ascii="Times New Roman" w:cs="Times New Roman" w:eastAsia="Times New Roman" w:hAnsi="Times New Roman"/>
          <w:sz w:val="24"/>
          <w:szCs w:val="24"/>
        </w:rPr>
        <w:t xml:space="preserve">Les systèmes de surveillance démographique et de santé occupent une place centrale dans la production de données de population fiables en Afrique subsaharienne, où l'état civil demeure souvent incomplet. Le réseau INDEPTH (International Network for the Demographic Evaluation of Populations and Their Health) fédère plus d'une quarantaine de sites HDSS à travers l'Afrique, l'Asie et l'Océanie, et joue un rôle reconnu de comblement des lacunes de l'épidémiologie mondiale en fournissant des données longitudinales individuelles là où les systèmes d'état civil nationaux restent partiels (Sankoh &amp; Byass, 2012). Le site de Ouagadougou, décrit dans le profil de cohorte publié dans l'International Journal of Epidemiology (Rossier et al., 2012), se distingue par son caractère urbain — la majorité des sites HDSS historiques étant ruraux — et par sa conception comparative entre quartiers lotis et quartiers spontanés.</w:t>
      </w:r>
    </w:p>
    <w:p>
      <w:pPr>
        <w:spacing w:after="200" w:line="360"/>
        <w:jc w:val="both"/>
      </w:pPr>
      <w:r>
        <w:rPr>
          <w:rFonts w:ascii="Times New Roman" w:cs="Times New Roman" w:eastAsia="Times New Roman" w:hAnsi="Times New Roman"/>
          <w:sz w:val="24"/>
          <w:szCs w:val="24"/>
        </w:rPr>
        <w:t xml:space="preserve">La littérature récente sur la modernisation numérique des HDSS souligne une hétérogénéité importante de maturité technologique entre sites : certains s'appuient sur des plateformes ouvertes telles qu'OpenHDS, couplées à des outils de collecte mobile comme ODK (Open Data Kit), qui ont permis de réduire sensiblement les délais et les erreurs de saisie par rapport à la collecte papier (Sewe et al., 2015). Une évaluation multi-pays récente menée sous l'initiative INSPIRE relève cependant que les écarts d'infrastructure, de gouvernance des données, de standards de métadonnées et de capacités techniques continuent de freiner l'harmonisation et le passage à l'échelle des systèmes HDSS africains, tout en identifiant l'informatique en nuage et le traitement automatisé assisté par l'intelligence artificielle comme des leviers de modernisation émergents. C'est précisément dans cet espace — la phase d'exploitation et de contrôle qualité en aval de la collecte, plutôt que la collecte elle-même — que se positionne le présent travail.</w:t>
      </w:r>
    </w:p>
    <w:p>
      <w:pPr>
        <w:pStyle w:val="Heading2"/>
        <w:spacing w:after="200" w:before="300"/>
      </w:pPr>
      <w:r>
        <w:rPr>
          <w:rFonts w:ascii="Times New Roman" w:cs="Times New Roman" w:eastAsia="Times New Roman" w:hAnsi="Times New Roman"/>
          <w:b/>
          <w:bCs/>
          <w:color w:val="0B2545"/>
          <w:sz w:val="27"/>
          <w:szCs w:val="27"/>
        </w:rPr>
        <w:t xml:space="preserve">2.2 L'intelligence artificielle générative et les grands modèles de langage</w:t>
      </w:r>
    </w:p>
    <w:p>
      <w:pPr>
        <w:spacing w:after="200" w:line="360"/>
        <w:jc w:val="both"/>
      </w:pPr>
      <w:r>
        <w:rPr>
          <w:rFonts w:ascii="Times New Roman" w:cs="Times New Roman" w:eastAsia="Times New Roman" w:hAnsi="Times New Roman"/>
          <w:sz w:val="24"/>
          <w:szCs w:val="24"/>
        </w:rPr>
        <w:t xml:space="preserve">Les grands modèles de langage (Large Language Models, LLM) reposent sur l'architecture Transformer (Vaswani et al., 2017), qui a permis un progrès déterminant dans la modélisation statistique du langage par des mécanismes d'attention. Les travaux ultérieurs, en particulier ceux ayant conduit à des modèles capables d'apprentissage en contexte à partir de quelques exemples (few-shot learning), tels que ceux décrits par Brown et al. (2020), ont mis en évidence la capacité de ces modèles à réaliser, sans réentraînement spécifique, un large éventail de tâches de traitement du langage naturel, y compris la synthèse d'information et la réponse à des questions.</w:t>
      </w:r>
    </w:p>
    <w:p>
      <w:pPr>
        <w:spacing w:after="200" w:line="360"/>
        <w:jc w:val="both"/>
      </w:pPr>
      <w:r>
        <w:rPr>
          <w:rFonts w:ascii="Times New Roman" w:cs="Times New Roman" w:eastAsia="Times New Roman" w:hAnsi="Times New Roman"/>
          <w:sz w:val="24"/>
          <w:szCs w:val="24"/>
        </w:rPr>
        <w:t xml:space="preserve">Cette capacité générative pose toutefois un problème bien documenté dans la littérature récente : celui de l'hallucination, c'est-à-dire la génération d'un contenu plausible, fluide et grammaticalement correct, mais factuellement erroné ou non fondé sur une source vérifiable (Huang et al., 2025). Une revue exhaustive de ce phénomène recense plusieurs catégories de causes (limites du corpus d'entraînement, biais d'optimisation, absence de mécanisme de vérification interne) et plusieurs familles de stratégies d'atténuation, parmi lesquelles la génération augmentée par récupération occupe une place centrale, aux côtés du renforcement du raisonnement et de l'apprentissage en contexte. Pour un usage dans un contexte statistique et scientifique, où l'exactitude d'un chiffre engage la crédibilité de l'institution productrice, ce risque ne peut être traité comme secondaire : il constitue la contrainte de conception principale du présent travail.</w:t>
      </w:r>
    </w:p>
    <w:p>
      <w:pPr>
        <w:pStyle w:val="Heading2"/>
        <w:spacing w:after="200" w:before="300"/>
      </w:pPr>
      <w:r>
        <w:rPr>
          <w:rFonts w:ascii="Times New Roman" w:cs="Times New Roman" w:eastAsia="Times New Roman" w:hAnsi="Times New Roman"/>
          <w:b/>
          <w:bCs/>
          <w:color w:val="0B2545"/>
          <w:sz w:val="27"/>
          <w:szCs w:val="27"/>
        </w:rPr>
        <w:t xml:space="preserve">2.3 La génération augmentée par récupération (RAG)</w:t>
      </w:r>
    </w:p>
    <w:p>
      <w:pPr>
        <w:spacing w:after="200" w:line="360"/>
        <w:jc w:val="both"/>
      </w:pPr>
      <w:r>
        <w:rPr>
          <w:rFonts w:ascii="Times New Roman" w:cs="Times New Roman" w:eastAsia="Times New Roman" w:hAnsi="Times New Roman"/>
          <w:sz w:val="24"/>
          <w:szCs w:val="24"/>
        </w:rPr>
        <w:t xml:space="preserve">La génération augmentée par récupération a été formalisée par Lewis et al. (2020), qui proposent de conditionner la génération d'un modèle de langage sur des passages documentaires récupérés dynamiquement au moment de la question, plutôt que de s'en remettre uniquement à la connaissance paramétrique acquise lors de l'entraînement. Cette approche combine ainsi une mémoire paramétrique (les poids du modèle) et une mémoire non paramétrique (une base documentaire externe, interrogeable et mise à jour indépendamment du modèle), ce qui présente un double avantage pour un cas d'usage institutionnel : la possibilité de fonder chaque réponse sur des sources identifiables et vérifiables, et celle de faire évoluer la base de connaissances sans avoir à réentraîner le modèle.</w:t>
      </w:r>
    </w:p>
    <w:p>
      <w:pPr>
        <w:spacing w:after="200" w:line="360"/>
        <w:jc w:val="both"/>
      </w:pPr>
      <w:r>
        <w:rPr>
          <w:rFonts w:ascii="Times New Roman" w:cs="Times New Roman" w:eastAsia="Times New Roman" w:hAnsi="Times New Roman"/>
          <w:sz w:val="24"/>
          <w:szCs w:val="24"/>
        </w:rPr>
        <w:t xml:space="preserve">Les travaux de synthèse plus récents (Gao et al., 2024) précisent que l'efficacité d'une architecture RAG dépend fortement de la qualité de l'étape de récupération — c'est-à-dire de la capacité du système à retrouver, parmi le corpus, les passages réellement pertinents pour la question posée — et non uniquement de la qualité du modèle génératif en aval. Cette observation a directement orienté un choix de conception central du présent travail, discuté à la section suivante : celui de la méthode de recherche documentaire retenue pour le module RAG de l'Assistant OPO.</w:t>
      </w:r>
    </w:p>
    <w:p>
      <w:pPr>
        <w:pStyle w:val="Heading2"/>
        <w:spacing w:after="200" w:before="300"/>
      </w:pPr>
      <w:r>
        <w:rPr>
          <w:rFonts w:ascii="Times New Roman" w:cs="Times New Roman" w:eastAsia="Times New Roman" w:hAnsi="Times New Roman"/>
          <w:b/>
          <w:bCs/>
          <w:color w:val="0B2545"/>
          <w:sz w:val="27"/>
          <w:szCs w:val="27"/>
        </w:rPr>
        <w:t xml:space="preserve">2.4 Recherche lexicale (TF-IDF) et recherche sémantique par embeddings : un choix de conception</w:t>
      </w:r>
    </w:p>
    <w:p>
      <w:pPr>
        <w:spacing w:after="200" w:line="360"/>
        <w:jc w:val="both"/>
      </w:pPr>
      <w:r>
        <w:rPr>
          <w:rFonts w:ascii="Times New Roman" w:cs="Times New Roman" w:eastAsia="Times New Roman" w:hAnsi="Times New Roman"/>
          <w:sz w:val="24"/>
          <w:szCs w:val="24"/>
        </w:rPr>
        <w:t xml:space="preserve">Deux grandes familles de méthodes permettent d'implémenter l'étape de récupération d'une architecture RAG. La première, lexicale, repose sur des représentations de type sac-de-mots pondérées, dont la méthode TF-IDF (Term Frequency – Inverse Document Frequency), décrite dans les ouvrages de référence en recherche d'information (Manning, Raghavan &amp; Schütze, 2008), constitue l'exemple le plus répandu : chaque document est représenté par un vecteur dont les composantes reflètent l'importance relative de chaque terme, et la similarité entre une question et un document est mesurée par la proximité de leurs vecteurs. La seconde, sémantique, repose sur des représentations vectorielles denses apprises par des réseaux de neurones (embeddings), issues par exemple de modèles de type BERT (Devlin et al., 2019) ou de leurs dérivés spécialisés pour la recherche de similarité de phrases (sentence embeddings).</w:t>
      </w:r>
    </w:p>
    <w:p>
      <w:pPr>
        <w:spacing w:after="200" w:line="360"/>
        <w:jc w:val="both"/>
      </w:pPr>
      <w:r>
        <w:rPr>
          <w:rFonts w:ascii="Times New Roman" w:cs="Times New Roman" w:eastAsia="Times New Roman" w:hAnsi="Times New Roman"/>
          <w:sz w:val="24"/>
          <w:szCs w:val="24"/>
        </w:rPr>
        <w:t xml:space="preserve">La littérature technique comparant ces deux approches (voir par exemple les comparatifs récents opposant TF-IDF et embeddings de type BERT) s'accorde sur un compromis : la recherche par embeddings capture mieux les synonymes, les reformulations et les relations sémantiques implicites entre les termes, mais nécessite le téléchargement et l'exécution d'un modèle de réseau de neurones, ce qui alourdit le déploiement et introduit une dépendance supplémentaire ; la recherche lexicale, plus simple et entièrement locale, reste en revanche performante lorsque la tâche consiste à retrouver un terme technique précis dans un vocabulaire stable et spécialisé — configuration qui correspond exactement à celle d'un dictionnaire de variables statistiques, où l'utilisateur cherche le plus souvent une variable désignée par son nom exact ou une formulation proche.</w:t>
      </w:r>
    </w:p>
    <w:p>
      <w:pPr>
        <w:spacing w:after="200" w:line="360"/>
        <w:jc w:val="both"/>
      </w:pPr>
      <w:r>
        <w:rPr>
          <w:rFonts w:ascii="Times New Roman" w:cs="Times New Roman" w:eastAsia="Times New Roman" w:hAnsi="Times New Roman"/>
          <w:sz w:val="24"/>
          <w:szCs w:val="24"/>
        </w:rPr>
        <w:t xml:space="preserve">C'est ce dernier arbitrage qui a été retenu pour l'Assistant OPO, détaillé au chapitre 4 : une vectorisation TF-IDF (bibliothèque scikit-learn), sans dépendance à un modèle neuronal téléchargé, complétée par un mécanisme de reformulation de requête assisté par le modèle de langage lorsque le score de récupération initial est trop faible — une manière de bénéficier ponctuellement des capacités de compréhension sémantique du LLM sans en faire le socle systématique de la recherche documentaire.</w:t>
      </w:r>
    </w:p>
    <w:p>
      <w:pPr>
        <w:pStyle w:val="Heading2"/>
        <w:spacing w:after="200" w:before="300"/>
      </w:pPr>
      <w:r>
        <w:rPr>
          <w:rFonts w:ascii="Times New Roman" w:cs="Times New Roman" w:eastAsia="Times New Roman" w:hAnsi="Times New Roman"/>
          <w:b/>
          <w:bCs/>
          <w:color w:val="0B2545"/>
          <w:sz w:val="27"/>
          <w:szCs w:val="27"/>
        </w:rPr>
        <w:t xml:space="preserve">2.5 Les assistants conversationnels dans les institutions statistiques et de santé publique</w:t>
      </w:r>
    </w:p>
    <w:p>
      <w:pPr>
        <w:spacing w:after="200" w:line="360"/>
        <w:jc w:val="both"/>
      </w:pPr>
      <w:r>
        <w:rPr>
          <w:rFonts w:ascii="Times New Roman" w:cs="Times New Roman" w:eastAsia="Times New Roman" w:hAnsi="Times New Roman"/>
          <w:sz w:val="24"/>
          <w:szCs w:val="24"/>
        </w:rPr>
        <w:t xml:space="preserve">L'adoption d'assistants conversationnels fondés sur l'intelligence artificielle par des institutions productrices de statistiques officielles demeure récente et encore peu documentée dans la littérature académique, mais des initiatives concrètes émergent. Statistique Canada, par exemple, développe pour son recensement un agent conversationnel combinant des solutions ouvertes et commerciales d'apprentissage automatique, dont les réponses sont rédigées et validées par des experts du domaine avant mise en production — illustrant une préoccupation de fiabilité analogue à celle qui structure le présent travail, bien que dans un contexte institutionnel et technologique différent. Plus largement, la littérature sur l'intelligence artificielle appliquée au développement en Afrique souligne à la fois le potentiel de ces technologies pour combler des déficits de capacité humaine spécialisée, et la nécessité d'une adaptation aux contraintes locales d'infrastructure et de gouvernance des données, plutôt qu'une simple importation de solutions conçues pour d'autres contextes.</w:t>
      </w:r>
    </w:p>
    <w:p>
      <w:pPr>
        <w:pStyle w:val="Heading2"/>
        <w:spacing w:after="200" w:before="300"/>
      </w:pPr>
      <w:r>
        <w:rPr>
          <w:rFonts w:ascii="Times New Roman" w:cs="Times New Roman" w:eastAsia="Times New Roman" w:hAnsi="Times New Roman"/>
          <w:b/>
          <w:bCs/>
          <w:color w:val="0B2545"/>
          <w:sz w:val="27"/>
          <w:szCs w:val="27"/>
        </w:rPr>
        <w:t xml:space="preserve">2.6 Gouvernance des données, confidentialité et éthique de l'IA appliquée aux données de population</w:t>
      </w:r>
    </w:p>
    <w:p>
      <w:pPr>
        <w:spacing w:after="200" w:line="360"/>
        <w:jc w:val="both"/>
      </w:pPr>
      <w:r>
        <w:rPr>
          <w:rFonts w:ascii="Times New Roman" w:cs="Times New Roman" w:eastAsia="Times New Roman" w:hAnsi="Times New Roman"/>
          <w:sz w:val="24"/>
          <w:szCs w:val="24"/>
        </w:rPr>
        <w:t xml:space="preserve">Les données produites par un observatoire de population sont, par nature, des données individuelles sensibles : identité, composition du ménage, événements de santé, situation socio-économique. Leur exploitation par un système intégrant un service externe de modèle de langage soulève des questions de confidentialité spécifiques, documentées dans la littérature sur les risques de confidentialité associés aux architectures RAG, qui souligne notamment le risque de fuite d'information lorsque des données sensibles transitent, même ponctuellement, par un service tiers. Ce risque impose des garde-fous de conception explicites — retrait systématique des données nominatives, minimisation des données transmises à un service externe, contrôle d'accès par authentification — qui sont détaillés au chapitre 3 (méthodologie) et au chapitre 4 (réalisation technique) du présent mémoire, et qui constituent une contrainte de conception aussi structurante que la question de la fiabilité factuelle traitée à la section 2.3.</w:t>
      </w:r>
    </w:p>
    <w:p>
      <w:pPr>
        <w:pStyle w:val="Heading2"/>
        <w:spacing w:after="200" w:before="300"/>
      </w:pPr>
      <w:r>
        <w:rPr>
          <w:rFonts w:ascii="Times New Roman" w:cs="Times New Roman" w:eastAsia="Times New Roman" w:hAnsi="Times New Roman"/>
          <w:b/>
          <w:bCs/>
          <w:color w:val="0B2545"/>
          <w:sz w:val="27"/>
          <w:szCs w:val="27"/>
        </w:rPr>
        <w:t xml:space="preserve">2.6bis Cadre conceptuel retenu</w:t>
      </w:r>
    </w:p>
    <w:p>
      <w:pPr>
        <w:spacing w:after="200" w:line="360"/>
        <w:jc w:val="both"/>
      </w:pPr>
      <w:r>
        <w:rPr>
          <w:rFonts w:ascii="Times New Roman" w:cs="Times New Roman" w:eastAsia="Times New Roman" w:hAnsi="Times New Roman"/>
          <w:sz w:val="24"/>
          <w:szCs w:val="24"/>
        </w:rPr>
        <w:t xml:space="preserve">Sur la base des éléments qui précèdent, le cadre conceptuel retenu pour ce travail articule trois notions : la fiabilité factuelle (l'exigence qu'un résultat chiffré restitué par le système corresponde exactement à un calcul vérifiable sur les données réellement déposées), l'adaptabilité structurelle (la capacité du système à traiter une table dont la structure exacte n'est pas connue à l'avance, sans configuration préalable), et la gouvernance des données (l'ensemble des garde-fous limitant la circulation et l'exposition des données individuelles sensibles). Ces trois notions ne sont pas indépendantes : un système plus adaptable, capable de deviner davantage de choses à partir de données incomplètes, tend mécaniquement à accroître le risque sur la fiabilité factuelle si les cas ambigus ne sont pas traités explicitement — c'est précisément l'arbitrage documenté à la section 4.3.5 à propos de la suppression de la notion de table par défaut. Le cadre conceptuel retenu privilégie donc, chaque fois que ces trois exigences entrent en tension, la fiabilité factuelle et la gouvernance sur la seule commodité d'usage.</w:t>
      </w:r>
    </w:p>
    <w:p>
      <w:pPr>
        <w:spacing w:after="200" w:line="360"/>
        <w:jc w:val="both"/>
      </w:pPr>
      <w:r>
        <w:rPr>
          <w:rFonts w:ascii="Times New Roman" w:cs="Times New Roman" w:eastAsia="Times New Roman" w:hAnsi="Times New Roman"/>
          <w:sz w:val="24"/>
          <w:szCs w:val="24"/>
        </w:rPr>
        <w:t xml:space="preserve">Ce cadre se distingue d'une approche purement technologique, qui consisterait à évaluer un assistant conversationnel à la seule aune de la qualité perçue de ses réponses rédigées. Il se rapproche davantage d'une approche de type génie logiciel critique, dans laquelle chaque fonctionnalité générant un résultat chiffré est traitée avec le même niveau d'exigence de test et de traçabilité qu'un module de production statistique classique, indépendamment du fait que son interface d'accès emprunte les codes d'une conversation en langage naturel.</w:t>
      </w:r>
    </w:p>
    <w:p>
      <w:pPr>
        <w:pStyle w:val="Heading2"/>
        <w:spacing w:after="200" w:before="300"/>
      </w:pPr>
      <w:r>
        <w:rPr>
          <w:rFonts w:ascii="Times New Roman" w:cs="Times New Roman" w:eastAsia="Times New Roman" w:hAnsi="Times New Roman"/>
          <w:b/>
          <w:bCs/>
          <w:color w:val="0B2545"/>
          <w:sz w:val="27"/>
          <w:szCs w:val="27"/>
        </w:rPr>
        <w:t xml:space="preserve">2.7 Synthèse et positionnement du présent travail</w:t>
      </w:r>
    </w:p>
    <w:p>
      <w:pPr>
        <w:spacing w:after="200" w:line="360"/>
        <w:jc w:val="both"/>
      </w:pPr>
      <w:r>
        <w:rPr>
          <w:rFonts w:ascii="Times New Roman" w:cs="Times New Roman" w:eastAsia="Times New Roman" w:hAnsi="Times New Roman"/>
          <w:sz w:val="24"/>
          <w:szCs w:val="24"/>
        </w:rPr>
        <w:t xml:space="preserve">Cette revue de la littérature met en évidence trois éléments qui structurent directement la conception de l'Assistant OPO. Premièrement, la génération augmentée par récupération constitue la réponse la mieux documentée au risque d'hallucination des grands modèles de langage, mais son efficacité dépend d'un choix de méthode de récupération adapté à la nature du corpus — ce qui justifie le choix d'une recherche lexicale TF-IDF pour un dictionnaire de variables au vocabulaire technique stable. Deuxièmement, la littérature sur la modernisation des HDSS identifie l'intelligence artificielle comme un levier émergent, encore peu mis en œuvre concrètement au niveau de l'exploitation des données par les équipes de recherche elles-mêmes (par opposition à la collecte, mieux couverte par des outils comme ODK ou OpenHDS) — ce qui situe le présent travail dans un espace encore peu documenté empiriquement. Troisièmement, aucune des sources recensées ne traite spécifiquement du cas où les questions posées au système appellent un résultat chiffré exact plutôt qu'une réponse rédigée : c'est cette spécificité — un identifiant unique de doublon, un pourcentage exact, une date de projection d'objectif — qui a conduit à écarter une architecture RAG « pure » au profit d'une architecture hybride combinant récupération documentaire et calcul déterministe, décrite au chapitre suivant.</w:t>
      </w:r>
    </w:p>
    <w:p>
      <w:pPr>
        <w:pStyle w:val="Heading1"/>
        <w:pageBreakBefore/>
        <w:spacing w:after="300" w:before="200"/>
      </w:pPr>
      <w:r>
        <w:rPr>
          <w:rFonts w:ascii="Times New Roman" w:cs="Times New Roman" w:eastAsia="Times New Roman" w:hAnsi="Times New Roman"/>
          <w:b/>
          <w:bCs/>
          <w:color w:val="0B2545"/>
          <w:sz w:val="32"/>
          <w:szCs w:val="32"/>
        </w:rPr>
        <w:t xml:space="preserve">Chapitre 3 — Méthodologie</w:t>
      </w:r>
    </w:p>
    <w:p>
      <w:pPr>
        <w:pStyle w:val="Heading2"/>
        <w:spacing w:after="200" w:before="300"/>
      </w:pPr>
      <w:r>
        <w:rPr>
          <w:rFonts w:ascii="Times New Roman" w:cs="Times New Roman" w:eastAsia="Times New Roman" w:hAnsi="Times New Roman"/>
          <w:b/>
          <w:bCs/>
          <w:color w:val="0B2545"/>
          <w:sz w:val="27"/>
          <w:szCs w:val="27"/>
        </w:rPr>
        <w:t xml:space="preserve">3.1 Démarche générale de conception</w:t>
      </w:r>
    </w:p>
    <w:p>
      <w:pPr>
        <w:spacing w:after="200" w:line="360"/>
        <w:jc w:val="both"/>
      </w:pPr>
      <w:r>
        <w:rPr>
          <w:rFonts w:ascii="Times New Roman" w:cs="Times New Roman" w:eastAsia="Times New Roman" w:hAnsi="Times New Roman"/>
          <w:sz w:val="24"/>
          <w:szCs w:val="24"/>
        </w:rPr>
        <w:t xml:space="preserve">La démarche retenue relève du développement itératif centré sur l'utilisateur : chaque fonctionnalité de l'Assistant OPO résulte d'un cycle court comprenant le recueil d'un besoin exprimé par l'équipe de l'observatoire (ou anticipé à partir de la structure connue des données), la conception d'une solution technique, son implémentation, sa validation par des tests automatisés, puis sa mise à l'épreuve en conditions réelles d'usage, dont les retours alimentent le cycle suivant. Cette démarche s'apparente à un prototypage rapide guidé par les besoins plutôt qu'à une planification exhaustive préalable, choix justifié par la nature évolutive et difficilement prévisible a priori des questions qu'une équipe de terrain adresse effectivement à un tel outil.</w:t>
      </w:r>
    </w:p>
    <w:p>
      <w:pPr>
        <w:pStyle w:val="Heading2"/>
        <w:spacing w:after="200" w:before="300"/>
      </w:pPr>
      <w:r>
        <w:rPr>
          <w:rFonts w:ascii="Times New Roman" w:cs="Times New Roman" w:eastAsia="Times New Roman" w:hAnsi="Times New Roman"/>
          <w:b/>
          <w:bCs/>
          <w:color w:val="0B2545"/>
          <w:sz w:val="27"/>
          <w:szCs w:val="27"/>
        </w:rPr>
        <w:t xml:space="preserve">3.2 Recueil des besoins</w:t>
      </w:r>
    </w:p>
    <w:p>
      <w:pPr>
        <w:spacing w:after="200" w:line="360"/>
        <w:jc w:val="both"/>
      </w:pPr>
      <w:r>
        <w:rPr>
          <w:rFonts w:ascii="Times New Roman" w:cs="Times New Roman" w:eastAsia="Times New Roman" w:hAnsi="Times New Roman"/>
          <w:sz w:val="24"/>
          <w:szCs w:val="24"/>
        </w:rPr>
        <w:t xml:space="preserve">Le recueil des besoins s'est appuyé sur deux sources complémentaires. La première est la structure documentée de la base de l'OPO elle-même (dictionnaire de 327 variables réparties en 23 tables, document de correspondance entre tables), qui a permis d'anticiper les familles de questions documentaires les plus probables (définition d'une variable, table d'appartenance, relation entre deux tables). La seconde est le retour direct de l'équipe de l'observatoire au fil des itérations de test de l'application déployée, qui a fait émerger des besoins non anticipés initialement — en particulier le module de suivi des performances de terrain (ménages visités par agent, objectif de collecte, rapport téléchargeable) et l'exigence d'une authentification empêchant tout accès non autorisé aux données déposées.</w:t>
      </w:r>
    </w:p>
    <w:p>
      <w:pPr>
        <w:pStyle w:val="Heading2"/>
        <w:spacing w:after="200" w:before="300"/>
      </w:pPr>
      <w:r>
        <w:rPr>
          <w:rFonts w:ascii="Times New Roman" w:cs="Times New Roman" w:eastAsia="Times New Roman" w:hAnsi="Times New Roman"/>
          <w:b/>
          <w:bCs/>
          <w:color w:val="0B2545"/>
          <w:sz w:val="27"/>
          <w:szCs w:val="27"/>
        </w:rPr>
        <w:t xml:space="preserve">3.3 Architecture générale retenue : deux voies de traitement</w:t>
      </w:r>
    </w:p>
    <w:p>
      <w:pPr>
        <w:spacing w:after="200" w:line="360"/>
        <w:jc w:val="both"/>
      </w:pPr>
      <w:r>
        <w:rPr>
          <w:rFonts w:ascii="Times New Roman" w:cs="Times New Roman" w:eastAsia="Times New Roman" w:hAnsi="Times New Roman"/>
          <w:sz w:val="24"/>
          <w:szCs w:val="24"/>
        </w:rPr>
        <w:t xml:space="preserve">Le choix architectural central du système consiste à distinguer explicitement deux natures de questions, traitées par deux voies de traitement indépendantes, présentées en détail au chapitre 4 : les questions documentaires, qui portent sur le sens d'une variable ou d'un concept et sont traitées par la voie RAG (récupération lexicale suivie d'une génération par un modèle de langage, avec obligation de fonder la réponse sur le contexte récupéré) ; et les questions d'analyse, qui portent sur un résultat chiffré à produire à partir d'une table réellement déposée (indicateur, échantillon, tableau croisé, audit de cohérence, rapport de performance), traitées par un calcul déterministe en Python (bibliothèque pandas), sans intervention du modèle de langage dans le calcul lui-même. Un module de classification d'intention, fondé d'abord sur la détection de mots-clés puis, en cas d'ambiguïté et si une clé de modèle de langage est configurée, sur une classification plus souple assistée par le LLM, aiguille chaque question vers la voie appropriée.</w:t>
      </w:r>
    </w:p>
    <w:p>
      <w:pPr>
        <w:pStyle w:val="Heading2"/>
        <w:spacing w:after="200" w:before="300"/>
      </w:pPr>
      <w:r>
        <w:rPr>
          <w:rFonts w:ascii="Times New Roman" w:cs="Times New Roman" w:eastAsia="Times New Roman" w:hAnsi="Times New Roman"/>
          <w:b/>
          <w:bCs/>
          <w:color w:val="0B2545"/>
          <w:sz w:val="27"/>
          <w:szCs w:val="27"/>
        </w:rPr>
        <w:t xml:space="preserve">3.4 Choix technologiques et justification</w:t>
      </w:r>
    </w:p>
    <w:p>
      <w:pPr>
        <w:spacing w:after="200" w:line="360"/>
        <w:jc w:val="both"/>
      </w:pPr>
      <w:r>
        <w:rPr>
          <w:rFonts w:ascii="Times New Roman" w:cs="Times New Roman" w:eastAsia="Times New Roman" w:hAnsi="Times New Roman"/>
          <w:sz w:val="24"/>
          <w:szCs w:val="24"/>
        </w:rPr>
        <w:t xml:space="preserve">Les choix technologiques ont privilégié la sobriété et la portabilité, dans un contexte où l'application doit pouvoir être déployée et maintenue par une équipe ne disposant pas nécessairement d'une infrastructure informatique dédiée. L'interface est réalisée avec Streamlit, un cadriciel Python permettant de construire une application web interactive sans développement front-end séparé, déployable directement sur une plateforme d'hébergement gratuite (Streamlit Community Cloud) ou sur un serveur privé. La recherche documentaire repose sur scikit-learn (vectorisation TF-IDF), choix justifié à la section 2.4. Le fournisseur de modèle de langage est interchangeable entre Groq (gratuit, rapide) et Anthropic (modèle Claude, payant mais avec un rendu jugé qualitativement supérieur pour la rédaction), ce qui évite tout verrouillage propriétaire (vendor lock-in). L'authentification repose sur la bibliothèque streamlit-authenticator, avec gestion des identifiants soit via un fichier de configuration local non versionné, soit via le gestionnaire de secrets natif de la plateforme d'hébergement. La génération de rapports téléchargeables (contrôle qualité, performance de terrain) repose sur python-docx.</w:t>
      </w:r>
    </w:p>
    <w:p>
      <w:pPr>
        <w:pStyle w:val="Heading2"/>
        <w:spacing w:after="200" w:before="300"/>
      </w:pPr>
      <w:r>
        <w:rPr>
          <w:rFonts w:ascii="Times New Roman" w:cs="Times New Roman" w:eastAsia="Times New Roman" w:hAnsi="Times New Roman"/>
          <w:b/>
          <w:bCs/>
          <w:color w:val="0B2545"/>
          <w:sz w:val="27"/>
          <w:szCs w:val="27"/>
        </w:rPr>
        <w:t xml:space="preserve">3.5 Méthodologie de constitution et d'indexation du corpus documentaire</w:t>
      </w:r>
    </w:p>
    <w:p>
      <w:pPr>
        <w:spacing w:after="200" w:line="360"/>
        <w:jc w:val="both"/>
      </w:pPr>
      <w:r>
        <w:rPr>
          <w:rFonts w:ascii="Times New Roman" w:cs="Times New Roman" w:eastAsia="Times New Roman" w:hAnsi="Times New Roman"/>
          <w:sz w:val="24"/>
          <w:szCs w:val="24"/>
        </w:rPr>
        <w:t xml:space="preserve">Le corpus documentaire du module RAG est constitué, d'une part, du dictionnaire de variables source (fichier tableur), converti automatiquement en un document texte par table (24 documents pour 23 tables, une table nécessitant un document scindé), chaque ligne du dictionnaire — c'est-à-dire chaque variable — devenant un fragment (chunk) autonome, préfixé du nom, du titre et de la description de sa table d'origine afin de rester interprétable même isolé de son contexte lors de la récupération ; d'autre part, de tout document de référence complémentaire (fiches de collecte, manuels de procédure, documentation de correspondance entre tables) déposé par l'équipe, converti automatiquement quel que soit son format d'origine (Word, PowerPoint, PDF, texte). Un document supplémentaire, généré à partir du dictionnaire et du document de correspondance des tables, documente explicitement les relations et clés primaires/étrangères entre les 23 tables, avec une pondération de pertinence légèrement renforcée pour rester compétitif face aux courtes définitions de variables sur les questions transversales portant sur les relations entre tables.</w:t>
      </w:r>
    </w:p>
    <w:p>
      <w:pPr>
        <w:pStyle w:val="Heading2"/>
        <w:spacing w:after="200" w:before="300"/>
      </w:pPr>
      <w:r>
        <w:rPr>
          <w:rFonts w:ascii="Times New Roman" w:cs="Times New Roman" w:eastAsia="Times New Roman" w:hAnsi="Times New Roman"/>
          <w:b/>
          <w:bCs/>
          <w:color w:val="0B2545"/>
          <w:sz w:val="27"/>
          <w:szCs w:val="27"/>
        </w:rPr>
        <w:t xml:space="preserve">3.6 Méthodologie de conception du module d'analyse déterministe</w:t>
      </w:r>
    </w:p>
    <w:p>
      <w:pPr>
        <w:spacing w:after="200" w:line="360"/>
        <w:jc w:val="both"/>
      </w:pPr>
      <w:r>
        <w:rPr>
          <w:rFonts w:ascii="Times New Roman" w:cs="Times New Roman" w:eastAsia="Times New Roman" w:hAnsi="Times New Roman"/>
          <w:sz w:val="24"/>
          <w:szCs w:val="24"/>
        </w:rPr>
        <w:t xml:space="preserve">Le module d'analyse a été conçu selon un principe directeur : ne jamais supposer de schéma figé. Plutôt que d'exiger que chaque table déposée respecte exactement la structure du dictionnaire de référence, le système détecte automatiquement, par le nom et le contenu des colonnes réellement présentes, les colonnes d'identifiant (motif « id »/« identif »), les colonnes de date (type de la colonne ou test de conversion réussi sur plus de 70 % des valeurs), les colonnes d'agent de terrain et de contrôleur, ainsi que les colonnes nominatives à retirer systématiquement. Cette approche, plus robuste qu'une correspondance stricte à un schéma prédéfini, permet de traiter des tables partielles, des extractions ponctuelles ou des feuilles d'un classeur Excel multi-feuilles sans configuration préalable, au prix d'une logique de détection plus complexe, elle-même validée par la suite de tests automatisés présentée au chapitre 5.</w:t>
      </w:r>
    </w:p>
    <w:p>
      <w:pPr>
        <w:pStyle w:val="Heading2"/>
        <w:spacing w:after="200" w:before="300"/>
      </w:pPr>
      <w:r>
        <w:rPr>
          <w:rFonts w:ascii="Times New Roman" w:cs="Times New Roman" w:eastAsia="Times New Roman" w:hAnsi="Times New Roman"/>
          <w:b/>
          <w:bCs/>
          <w:color w:val="0B2545"/>
          <w:sz w:val="27"/>
          <w:szCs w:val="27"/>
        </w:rPr>
        <w:t xml:space="preserve">3.7 Méthodologie de validation</w:t>
      </w:r>
    </w:p>
    <w:p>
      <w:pPr>
        <w:spacing w:after="200" w:line="360"/>
        <w:jc w:val="both"/>
      </w:pPr>
      <w:r>
        <w:rPr>
          <w:rFonts w:ascii="Times New Roman" w:cs="Times New Roman" w:eastAsia="Times New Roman" w:hAnsi="Times New Roman"/>
          <w:sz w:val="24"/>
          <w:szCs w:val="24"/>
        </w:rPr>
        <w:t xml:space="preserve">La validation du système repose sur trois niveaux de tests automatisés, exécutés avec le cadriciel pytest. Le premier niveau teste unitairement chaque fonction de calcul du module d'analyse (répartition, échantillonnage, détection de doublons, détection de dates invraisemblables, résolution de la table ciblée par une question, tableaux croisés, corrélations, contrôles de cohérence avancés, module de performance de terrain) sur des jeux de données synthétiques construits spécifiquement pour chaque cas, y compris des cas limites et des anomalies injectées volontairement (doublon d'identifiant, date postérieure à la date du jour, date antérieure à 1900). Le deuxième niveau teste le module de récupération documentaire et de construction du prompt. Le troisième niveau, dit de bout en bout, simule de véritables conversations multi-tours dans l'interface elle-même (au moyen de l'outil de test intégré à Streamlit, streamlit.testing.v1.AppTest), afin de vérifier que l'intégration des modules — et non chaque module isolément — produit le comportement attendu face à des formulations de questions réalistes et à des enchaînements de questions de suivi. L'ensemble de cette suite, comptant 180 tests au moment de la rédaction de ce mémoire, est exécuté systématiquement avant toute mise en production d'une évolution du système.</w:t>
      </w:r>
    </w:p>
    <w:p>
      <w:pPr>
        <w:pStyle w:val="Heading2"/>
        <w:spacing w:after="200" w:before="300"/>
      </w:pPr>
      <w:r>
        <w:rPr>
          <w:rFonts w:ascii="Times New Roman" w:cs="Times New Roman" w:eastAsia="Times New Roman" w:hAnsi="Times New Roman"/>
          <w:b/>
          <w:bCs/>
          <w:color w:val="0B2545"/>
          <w:sz w:val="27"/>
          <w:szCs w:val="27"/>
        </w:rPr>
        <w:t xml:space="preserve">3.8 Considérations éthiques et de confidentialité</w:t>
      </w:r>
    </w:p>
    <w:p>
      <w:pPr>
        <w:spacing w:after="200" w:line="360"/>
        <w:jc w:val="both"/>
      </w:pPr>
      <w:r>
        <w:rPr>
          <w:rFonts w:ascii="Times New Roman" w:cs="Times New Roman" w:eastAsia="Times New Roman" w:hAnsi="Times New Roman"/>
          <w:sz w:val="24"/>
          <w:szCs w:val="24"/>
        </w:rPr>
        <w:t xml:space="preserve">La méthodologie de conception intègre, dès la phase de cadrage, un ensemble de garde-fous éthiques et de confidentialité, plutôt que de les traiter comme un ajout a posteriori. Toute colonne dont le nom évoque un nom ou un prénom est retirée automatiquement avant toute analyse ou tout affichage, y compris lorsqu'elle est présente dans le fichier source déposé. Le contenu effectif des lignes d'une table (les données individuelles elles-mêmes) n'est jamais transmis au service externe de modèle de langage : seuls les noms de colonnes et le texte de la question de l'utilisateur peuvent l'être, pour les besoins de la classification d'intention ou de la reformulation de requête. Aucun contrôle de cohérence ne déclenche de correction automatique des données : chaque contrôle produit une liste d'anomalies à valider par une personne habilitée, conformément au principe, énoncé dès la phase de cadrage avec l'équipe de l'OPO, qu'un système automatisé ne doit jamais modifier une donnée de collecte sans validation humaine. Enfin, l'accès à l'application est protégé par une authentification nominative, et les identifiants réels ne sont jamais versionnés dans le dépôt de code source, qui reste consultable publiquement à des fins de transparence méthodologique.</w:t>
      </w:r>
    </w:p>
    <w:p>
      <w:pPr>
        <w:pStyle w:val="Heading2"/>
        <w:spacing w:after="200" w:before="300"/>
      </w:pPr>
      <w:r>
        <w:rPr>
          <w:rFonts w:ascii="Times New Roman" w:cs="Times New Roman" w:eastAsia="Times New Roman" w:hAnsi="Times New Roman"/>
          <w:b/>
          <w:bCs/>
          <w:color w:val="0B2545"/>
          <w:sz w:val="27"/>
          <w:szCs w:val="27"/>
        </w:rPr>
        <w:t xml:space="preserve">3.9 Calendrier et étapes de réalisation</w:t>
      </w:r>
    </w:p>
    <w:p>
      <w:pPr>
        <w:spacing w:after="200" w:line="360"/>
        <w:jc w:val="both"/>
      </w:pPr>
      <w:r>
        <w:rPr>
          <w:rFonts w:ascii="Times New Roman" w:cs="Times New Roman" w:eastAsia="Times New Roman" w:hAnsi="Times New Roman"/>
          <w:sz w:val="24"/>
          <w:szCs w:val="24"/>
        </w:rPr>
        <w:t xml:space="preserve">La réalisation a suivi un enchaînement de neuf étapes principales, résumées dans le tableau ci-dessous, chacune correspondant à un cycle du processus itératif décrit à la section 3.1. Cet enchaînement illustre concrètement la logique de prototypage guidé par les besoins : les étapes 1 à 3 correspondent au socle documentaire et analytique initial, les étapes 4 à 6 répondent à des besoins d'usage apparus après les premiers tests réels par l'équipe de l'observatoire, et les étapes 7 à 9 correspondent à la consolidation de la sécurité, de la robustesse et de la documentation du système avant un usage partagé durable.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w:trPr>
          <w:tblHeader/>
        </w:trPr>
        <w:tc>
          <w:tcPr>
            <w:tcW w:type="dxa" w:w="14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Étape</w:t>
            </w:r>
          </w:p>
        </w:tc>
        <w:tc>
          <w:tcPr>
            <w:tcW w:type="dxa" w:w="66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Contenu principal</w:t>
            </w:r>
          </w:p>
        </w:tc>
      </w:tr>
      <w:tr>
        <w:tc>
          <w:tcPr>
            <w:tcW w:type="dxa" w:w="1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w:t>
            </w:r>
          </w:p>
        </w:tc>
        <w:tc>
          <w:tcPr>
            <w:tcW w:type="dxa" w:w="66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Cadrage des besoins et conception de l'architecture à deux voies (RAG / calcul déterministe)</w:t>
            </w:r>
          </w:p>
        </w:tc>
      </w:tr>
      <w:tr>
        <w:tc>
          <w:tcPr>
            <w:tcW w:type="dxa" w:w="14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2</w:t>
            </w:r>
          </w:p>
        </w:tc>
        <w:tc>
          <w:tcPr>
            <w:tcW w:type="dxa" w:w="66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Constitution et indexation du corpus documentaire (dictionnaire de 327 variables, 23 tables)</w:t>
            </w:r>
          </w:p>
        </w:tc>
      </w:tr>
      <w:tr>
        <w:tc>
          <w:tcPr>
            <w:tcW w:type="dxa" w:w="1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3</w:t>
            </w:r>
          </w:p>
        </w:tc>
        <w:tc>
          <w:tcPr>
            <w:tcW w:type="dxa" w:w="66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Module d'analyse générique (répartition, échantillon, doublons, dates invraisemblables)</w:t>
            </w:r>
          </w:p>
        </w:tc>
      </w:tr>
      <w:tr>
        <w:tc>
          <w:tcPr>
            <w:tcW w:type="dxa" w:w="14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4</w:t>
            </w:r>
          </w:p>
        </w:tc>
        <w:tc>
          <w:tcPr>
            <w:tcW w:type="dxa" w:w="66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Extension multi-tables : relations, fusions, anti-jointures, classeurs Excel multi-feuilles</w:t>
            </w:r>
          </w:p>
        </w:tc>
      </w:tr>
      <w:tr>
        <w:tc>
          <w:tcPr>
            <w:tcW w:type="dxa" w:w="1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5</w:t>
            </w:r>
          </w:p>
        </w:tc>
        <w:tc>
          <w:tcPr>
            <w:tcW w:type="dxa" w:w="66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Analyses bivariées et multivariées (tableaux croisés, corrélations) et syntaxe R/Stata associée</w:t>
            </w:r>
          </w:p>
        </w:tc>
      </w:tr>
      <w:tr>
        <w:tc>
          <w:tcPr>
            <w:tcW w:type="dxa" w:w="14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6</w:t>
            </w:r>
          </w:p>
        </w:tc>
        <w:tc>
          <w:tcPr>
            <w:tcW w:type="dxa" w:w="66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Catalogue de contrôles de cohérence avancés spécifiques au métier de l'observatoire</w:t>
            </w:r>
          </w:p>
        </w:tc>
      </w:tr>
      <w:tr>
        <w:tc>
          <w:tcPr>
            <w:tcW w:type="dxa" w:w="1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7</w:t>
            </w:r>
          </w:p>
        </w:tc>
        <w:tc>
          <w:tcPr>
            <w:tcW w:type="dxa" w:w="66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Module de suivi des performances de terrain (agrégation, objectifs, rapport Word)</w:t>
            </w:r>
          </w:p>
        </w:tc>
      </w:tr>
      <w:tr>
        <w:tc>
          <w:tcPr>
            <w:tcW w:type="dxa" w:w="14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8</w:t>
            </w:r>
          </w:p>
        </w:tc>
        <w:tc>
          <w:tcPr>
            <w:tcW w:type="dxa" w:w="66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Sécurisation : authentification, gestion des secrets, nettoyage des fichiers temporaires</w:t>
            </w:r>
          </w:p>
        </w:tc>
      </w:tr>
      <w:tr>
        <w:tc>
          <w:tcPr>
            <w:tcW w:type="dxa" w:w="1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9</w:t>
            </w:r>
          </w:p>
        </w:tc>
        <w:tc>
          <w:tcPr>
            <w:tcW w:type="dxa" w:w="66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Généralisation de la logique « aucune table par défaut » et consolidation de la documentation</w:t>
            </w:r>
          </w:p>
        </w:tc>
      </w:tr>
    </w:tbl>
    <w:p>
      <w:pPr>
        <w:spacing w:after="300" w:before="100"/>
        <w:jc w:val="center"/>
      </w:pPr>
      <w:r>
        <w:rPr>
          <w:rFonts w:ascii="Times New Roman" w:cs="Times New Roman" w:eastAsia="Times New Roman" w:hAnsi="Times New Roman"/>
          <w:i/>
          <w:iCs/>
          <w:color w:val="555555"/>
          <w:sz w:val="21"/>
          <w:szCs w:val="21"/>
        </w:rPr>
        <w:t xml:space="preserve">Tableau 4 — Étapes principales de la réalisation du système.</w:t>
      </w:r>
    </w:p>
    <w:p>
      <w:pPr>
        <w:pStyle w:val="Heading1"/>
        <w:pageBreakBefore/>
        <w:spacing w:after="300" w:before="200"/>
      </w:pPr>
      <w:r>
        <w:rPr>
          <w:rFonts w:ascii="Times New Roman" w:cs="Times New Roman" w:eastAsia="Times New Roman" w:hAnsi="Times New Roman"/>
          <w:b/>
          <w:bCs/>
          <w:color w:val="0B2545"/>
          <w:sz w:val="32"/>
          <w:szCs w:val="32"/>
        </w:rPr>
        <w:t xml:space="preserve">Chapitre 4 — Conception et réalisation technique du système</w:t>
      </w:r>
    </w:p>
    <w:p>
      <w:pPr>
        <w:pStyle w:val="Heading2"/>
        <w:spacing w:after="200" w:before="300"/>
      </w:pPr>
      <w:r>
        <w:rPr>
          <w:rFonts w:ascii="Times New Roman" w:cs="Times New Roman" w:eastAsia="Times New Roman" w:hAnsi="Times New Roman"/>
          <w:b/>
          <w:bCs/>
          <w:color w:val="0B2545"/>
          <w:sz w:val="27"/>
          <w:szCs w:val="27"/>
        </w:rPr>
        <w:t xml:space="preserve">4.1 Vue d'ensemble de l'architecture</w:t>
      </w:r>
    </w:p>
    <w:p>
      <w:pPr>
        <w:spacing w:after="200" w:line="360"/>
        <w:jc w:val="both"/>
      </w:pPr>
      <w:r>
        <w:rPr>
          <w:rFonts w:ascii="Times New Roman" w:cs="Times New Roman" w:eastAsia="Times New Roman" w:hAnsi="Times New Roman"/>
          <w:sz w:val="24"/>
          <w:szCs w:val="24"/>
        </w:rPr>
        <w:t xml:space="preserve">L'architecture de l'Assistant OPO s'organise autour d'une interface conversationnelle unique (application Streamlit, fichier app.py, 1 420 lignes), qui distribue chaque question de l'utilisateur vers l'un de deux chemins de traitement selon sa nature, ainsi que vers des modules transversaux (authentification, gestion des tables déposées, export de résultats). Le tableau 1 résume les modules constitutifs du système, leur rôle et leur taille approximative en lignes de code source.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200"/>
        <w:gridCol w:w="1700"/>
      </w:tblGrid>
      <w:tr>
        <w:trPr>
          <w:tblHeader/>
        </w:trPr>
        <w:tc>
          <w:tcPr>
            <w:tcW w:type="dxa" w:w="25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Module</w:t>
            </w:r>
          </w:p>
        </w:tc>
        <w:tc>
          <w:tcPr>
            <w:tcW w:type="dxa" w:w="20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Fichier</w:t>
            </w:r>
          </w:p>
        </w:tc>
        <w:tc>
          <w:tcPr>
            <w:tcW w:type="dxa" w:w="42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Rôle principal</w:t>
            </w:r>
          </w:p>
        </w:tc>
        <w:tc>
          <w:tcPr>
            <w:tcW w:type="dxa" w:w="17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Taille (lignes)</w:t>
            </w:r>
          </w:p>
        </w:tc>
      </w:tr>
      <w:tr>
        <w:tc>
          <w:tcPr>
            <w:tcW w:type="dxa" w:w="25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Interface &amp; routage</w:t>
            </w:r>
          </w:p>
        </w:tc>
        <w:tc>
          <w:tcPr>
            <w:tcW w:type="dxa" w:w="2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app.py</w:t>
            </w:r>
          </w:p>
        </w:tc>
        <w:tc>
          <w:tcPr>
            <w:tcW w:type="dxa" w:w="4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Interface de chat, routage des questions, export des résultats</w:t>
            </w:r>
          </w:p>
        </w:tc>
        <w:tc>
          <w:tcPr>
            <w:tcW w:type="dxa" w:w="1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1 420</w:t>
            </w:r>
          </w:p>
        </w:tc>
      </w:tr>
      <w:tr>
        <w:tc>
          <w:tcPr>
            <w:tcW w:type="dxa" w:w="25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Analyse de données</w:t>
            </w:r>
          </w:p>
        </w:tc>
        <w:tc>
          <w:tcPr>
            <w:tcW w:type="dxa" w:w="2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data_tools.py</w:t>
            </w:r>
          </w:p>
        </w:tc>
        <w:tc>
          <w:tcPr>
            <w:tcW w:type="dxa" w:w="4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Calculs déterministes sur les tables déposées (indicateurs, cohérence, performance)</w:t>
            </w:r>
          </w:p>
        </w:tc>
        <w:tc>
          <w:tcPr>
            <w:tcW w:type="dxa" w:w="1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1 438</w:t>
            </w:r>
          </w:p>
        </w:tc>
      </w:tr>
      <w:tr>
        <w:tc>
          <w:tcPr>
            <w:tcW w:type="dxa" w:w="25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Recherche documentaire</w:t>
            </w:r>
          </w:p>
        </w:tc>
        <w:tc>
          <w:tcPr>
            <w:tcW w:type="dxa" w:w="2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rag.py</w:t>
            </w:r>
          </w:p>
        </w:tc>
        <w:tc>
          <w:tcPr>
            <w:tcW w:type="dxa" w:w="4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Recherche TF-IDF, construction du prompt, appel au modèle de langage</w:t>
            </w:r>
          </w:p>
        </w:tc>
        <w:tc>
          <w:tcPr>
            <w:tcW w:type="dxa" w:w="1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350</w:t>
            </w:r>
          </w:p>
        </w:tc>
      </w:tr>
      <w:tr>
        <w:tc>
          <w:tcPr>
            <w:tcW w:type="dxa" w:w="25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Authentification</w:t>
            </w:r>
          </w:p>
        </w:tc>
        <w:tc>
          <w:tcPr>
            <w:tcW w:type="dxa" w:w="2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auth.py</w:t>
            </w:r>
          </w:p>
        </w:tc>
        <w:tc>
          <w:tcPr>
            <w:tcW w:type="dxa" w:w="4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Écran de connexion, gestion des comptes et des secrets</w:t>
            </w:r>
          </w:p>
        </w:tc>
        <w:tc>
          <w:tcPr>
            <w:tcW w:type="dxa" w:w="1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254</w:t>
            </w:r>
          </w:p>
        </w:tc>
      </w:tr>
      <w:tr>
        <w:tc>
          <w:tcPr>
            <w:tcW w:type="dxa" w:w="25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Indexation</w:t>
            </w:r>
          </w:p>
        </w:tc>
        <w:tc>
          <w:tcPr>
            <w:tcW w:type="dxa" w:w="2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ingest.py</w:t>
            </w:r>
          </w:p>
        </w:tc>
        <w:tc>
          <w:tcPr>
            <w:tcW w:type="dxa" w:w="4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Construction de l'index de recherche documentaire</w:t>
            </w:r>
          </w:p>
        </w:tc>
        <w:tc>
          <w:tcPr>
            <w:tcW w:type="dxa" w:w="1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103</w:t>
            </w:r>
          </w:p>
        </w:tc>
      </w:tr>
      <w:tr>
        <w:tc>
          <w:tcPr>
            <w:tcW w:type="dxa" w:w="25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Préparation du corpus</w:t>
            </w:r>
          </w:p>
        </w:tc>
        <w:tc>
          <w:tcPr>
            <w:tcW w:type="dxa" w:w="2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prepare_corpus.py</w:t>
            </w:r>
          </w:p>
        </w:tc>
        <w:tc>
          <w:tcPr>
            <w:tcW w:type="dxa" w:w="4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Conversion des documents sources en texte indexable</w:t>
            </w:r>
          </w:p>
        </w:tc>
        <w:tc>
          <w:tcPr>
            <w:tcW w:type="dxa" w:w="1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260</w:t>
            </w:r>
          </w:p>
        </w:tc>
      </w:tr>
    </w:tbl>
    <w:p>
      <w:pPr>
        <w:spacing w:after="300" w:before="100"/>
        <w:jc w:val="center"/>
      </w:pPr>
      <w:r>
        <w:rPr>
          <w:rFonts w:ascii="Times New Roman" w:cs="Times New Roman" w:eastAsia="Times New Roman" w:hAnsi="Times New Roman"/>
          <w:i/>
          <w:iCs/>
          <w:color w:val="555555"/>
          <w:sz w:val="21"/>
          <w:szCs w:val="21"/>
        </w:rPr>
        <w:t xml:space="preserve">Tableau 1 — Modules constitutifs du système et taille du code source.</w:t>
      </w:r>
    </w:p>
    <w:p>
      <w:pPr>
        <w:pStyle w:val="Heading2"/>
        <w:spacing w:after="200" w:before="300"/>
      </w:pPr>
      <w:r>
        <w:rPr>
          <w:rFonts w:ascii="Times New Roman" w:cs="Times New Roman" w:eastAsia="Times New Roman" w:hAnsi="Times New Roman"/>
          <w:b/>
          <w:bCs/>
          <w:color w:val="0B2545"/>
          <w:sz w:val="27"/>
          <w:szCs w:val="27"/>
        </w:rPr>
        <w:t xml:space="preserve">4.2 Module documentaire : recherche augmentée par récupération (RAG)</w:t>
      </w:r>
    </w:p>
    <w:p>
      <w:pPr>
        <w:spacing w:after="200" w:line="360"/>
        <w:jc w:val="both"/>
      </w:pPr>
      <w:r>
        <w:rPr>
          <w:rFonts w:ascii="Times New Roman" w:cs="Times New Roman" w:eastAsia="Times New Roman" w:hAnsi="Times New Roman"/>
          <w:sz w:val="24"/>
          <w:szCs w:val="24"/>
        </w:rPr>
        <w:t xml:space="preserve">Le module documentaire suit la séquence classique d'une architecture RAG, illustrée par le schéma logique suivant : une question de l'utilisateur est d'abord comparée, par similarité TF-IDF, à l'ensemble des fragments du corpus indexé (dictionnaire de variables et documents de référence) ; les fragments les plus pertinents sont assemblés en un contexte, transmis avec la question à un modèle de langage (Groq ou Claude/Anthropic, au choix), avec pour consigne explicite de répondre uniquement à partir de ce contexte, de citer ses sources, et de déclarer une absence d'information plutôt que d'inventer une réponse en l'absence de contexte pertinent.</w:t>
      </w:r>
    </w:p>
    <w:p>
      <w:pPr>
        <w:spacing w:after="200" w:line="360"/>
        <w:jc w:val="both"/>
      </w:pPr>
      <w:r>
        <w:rPr>
          <w:rFonts w:ascii="Times New Roman" w:cs="Times New Roman" w:eastAsia="Times New Roman" w:hAnsi="Times New Roman"/>
          <w:sz w:val="24"/>
          <w:szCs w:val="24"/>
        </w:rPr>
        <w:t xml:space="preserve">Deux mécanismes complémentaires renforcent la robustesse conversationnelle de ce module. Le premier est une mémoire de conversation : les six derniers échanges sont systématiquement transmis au modèle de langage à chaque nouvelle question documentaire, ce qui permet à des questions de suivi elliptiques (« et pour l'autre table ? », « peux-tu détailler ? ») de rester correctement interprétées sans que l'utilisateur ait à reformuler l'intégralité du contexte. Le second est une reformulation automatique de requête en cas d'échec : lorsque le meilleur score de similarité obtenu lors de la recherche initiale est très faible — signe que la question est formulée dans des termes trop éloignés du vocabulaire du corpus — le système sollicite une seule fois le modèle de langage pour reformuler la requête en termes plus techniques avant de relancer la recherche, sans coût supplémentaire dans le cas courant où la recherche initiale aboutit déjà.</w:t>
      </w:r>
    </w:p>
    <w:p>
      <w:pPr>
        <w:pStyle w:val="Heading2"/>
        <w:spacing w:after="200" w:before="300"/>
      </w:pPr>
      <w:r>
        <w:rPr>
          <w:rFonts w:ascii="Times New Roman" w:cs="Times New Roman" w:eastAsia="Times New Roman" w:hAnsi="Times New Roman"/>
          <w:b/>
          <w:bCs/>
          <w:color w:val="0B2545"/>
          <w:sz w:val="27"/>
          <w:szCs w:val="27"/>
        </w:rPr>
        <w:t xml:space="preserve">4.3 Module d'analyse déterministe multi-tables</w:t>
      </w:r>
    </w:p>
    <w:p>
      <w:pPr>
        <w:spacing w:after="200" w:line="360"/>
        <w:jc w:val="both"/>
      </w:pPr>
      <w:r>
        <w:rPr>
          <w:rFonts w:ascii="Times New Roman" w:cs="Times New Roman" w:eastAsia="Times New Roman" w:hAnsi="Times New Roman"/>
          <w:sz w:val="24"/>
          <w:szCs w:val="24"/>
        </w:rPr>
        <w:t xml:space="preserve">Le module d'analyse traite toute table déposée par l'utilisateur (fichier CSV, Excel — y compris un classeur multi-feuilles, chaque feuille étant traitée comme une table distincte — ou Stata), sans supposer de schéma prédéfini. La détection automatique des colonnes d'identifiant, de date, d'agent de terrain et de contrôleur, ainsi que le retrait systématique des colonnes nominatives, ont été présentés au chapitre 3 (section 3.6) ; cette section en détaille les fonctionnalités analytiques.</w:t>
      </w:r>
    </w:p>
    <w:p>
      <w:pPr>
        <w:pStyle w:val="Heading3"/>
        <w:spacing w:after="160" w:before="220"/>
      </w:pPr>
      <w:r>
        <w:rPr>
          <w:rFonts w:ascii="Times New Roman" w:cs="Times New Roman" w:eastAsia="Times New Roman" w:hAnsi="Times New Roman"/>
          <w:b/>
          <w:bCs/>
          <w:color w:val="13795B"/>
          <w:sz w:val="24"/>
          <w:szCs w:val="24"/>
        </w:rPr>
        <w:t xml:space="preserve">4.3.1 Analyses univariées, bivariées et multivariées</w:t>
      </w:r>
    </w:p>
    <w:p>
      <w:pPr>
        <w:spacing w:after="200" w:line="360"/>
        <w:jc w:val="both"/>
      </w:pPr>
      <w:r>
        <w:rPr>
          <w:rFonts w:ascii="Times New Roman" w:cs="Times New Roman" w:eastAsia="Times New Roman" w:hAnsi="Times New Roman"/>
          <w:sz w:val="24"/>
          <w:szCs w:val="24"/>
        </w:rPr>
        <w:t xml:space="preserve">Pour une table (ou un ensemble de tables) résolue à partir de la question posée, le système calcule directement des répartitions (effectifs et pourcentages d'une variable), des échantillons reproductibles (graine aléatoire fixée), des tableaux croisés à deux variables (équivalent direct de pandas.crosstab), des matrices de corrélation entre variables numériques, et des analyses multivariées croisant trois variables catégorielles ou plus. Chaque réponse est systématiquement accompagnée de la syntaxe R et Stata strictement équivalente, permettant à l'utilisateur de reproduire ou d'approfondir le calcul en dehors de l'application — choix de conception qui positionne l'assistant comme un outil d'assistance à l'analyse plutôt que comme une boîte noire se substituant aux logiciels statistiques de référence de la discipline.</w:t>
      </w:r>
    </w:p>
    <w:p>
      <w:pPr>
        <w:pStyle w:val="Heading3"/>
        <w:spacing w:after="160" w:before="220"/>
      </w:pPr>
      <w:r>
        <w:rPr>
          <w:rFonts w:ascii="Times New Roman" w:cs="Times New Roman" w:eastAsia="Times New Roman" w:hAnsi="Times New Roman"/>
          <w:b/>
          <w:bCs/>
          <w:color w:val="13795B"/>
          <w:sz w:val="24"/>
          <w:szCs w:val="24"/>
        </w:rPr>
        <w:t xml:space="preserve">4.3.2 Détection de doublons et de dates invraisemblables</w:t>
      </w:r>
    </w:p>
    <w:p>
      <w:pPr>
        <w:spacing w:after="200" w:line="360"/>
        <w:jc w:val="both"/>
      </w:pPr>
      <w:r>
        <w:rPr>
          <w:rFonts w:ascii="Times New Roman" w:cs="Times New Roman" w:eastAsia="Times New Roman" w:hAnsi="Times New Roman"/>
          <w:sz w:val="24"/>
          <w:szCs w:val="24"/>
        </w:rPr>
        <w:t xml:space="preserve">Le contrôle de cohérence générique détecte les doublons d'identifiant et les dates invraisemblables (dates postérieures à la date du jour, ou antérieures à un seuil paramétré), sur la ou les colonnes d'identifiant et de date automatiquement détectées, en indiquant explicitement quelles colonnes ont été vérifiées — transparence jugée nécessaire pour qu'une équipe utilisatrice puisse évaluer la portée réelle, et donc les limites, de chaque contrôle produit.</w:t>
      </w:r>
    </w:p>
    <w:p>
      <w:pPr>
        <w:pStyle w:val="Heading3"/>
        <w:spacing w:after="160" w:before="220"/>
      </w:pPr>
      <w:r>
        <w:rPr>
          <w:rFonts w:ascii="Times New Roman" w:cs="Times New Roman" w:eastAsia="Times New Roman" w:hAnsi="Times New Roman"/>
          <w:b/>
          <w:bCs/>
          <w:color w:val="13795B"/>
          <w:sz w:val="24"/>
          <w:szCs w:val="24"/>
        </w:rPr>
        <w:t xml:space="preserve">4.3.3 Catalogue de contrôles de cohérence avancés, spécifiques au métier de l'observatoire</w:t>
      </w:r>
    </w:p>
    <w:p>
      <w:pPr>
        <w:spacing w:after="200" w:line="360"/>
        <w:jc w:val="both"/>
      </w:pPr>
      <w:r>
        <w:rPr>
          <w:rFonts w:ascii="Times New Roman" w:cs="Times New Roman" w:eastAsia="Times New Roman" w:hAnsi="Times New Roman"/>
          <w:sz w:val="24"/>
          <w:szCs w:val="24"/>
        </w:rPr>
        <w:t xml:space="preserve">Au-delà du contrôle générique, un catalogue de contrôles métier, spécifiques au type d'enquête démographique et de santé mené par l'OPO, est déclenché sur demande explicite (audit de cohérence avancé) et appliqué automatiquement à toutes les tables chargées dont les colonnes nécessaires sont présentes. Ce catalogue comprend, entre autres, la détection d'identifiants de longueur inhabituelle, d'auto-références (un identifiant identique à celui de son propre parent déclaré), de parents identiques déclarés pour le père et la mère, de jeunes enfants sans identifiant de mère renseigné, de valeurs sentinelles de non-réponse codées (par exemple un poids codé 9999), de coordonnées GPS hors du territoire national, de formats de numéro de téléphone invalides, de dates d'arrivée postérieures aux dates de départ, de résidences multiples pour un même individu, de naissances postérieures au décès, et d'âges hors de la tranche attendue selon le type de fiche (par exemple 12–49 ans pour une fiche relative à la grossesse). Un second niveau de contrôles, dits croisés, compare la population éligible d'une fiche de présence à sa présence effective dans les fiches thématiques complémentaires (éducation, emploi, santé, histoire génésique), afin de détecter des incohérences de couverture entre fiches liées à un même individu.</w:t>
      </w:r>
    </w:p>
    <w:p>
      <w:pPr>
        <w:pStyle w:val="Heading3"/>
        <w:spacing w:after="160" w:before="220"/>
      </w:pPr>
      <w:r>
        <w:rPr>
          <w:rFonts w:ascii="Times New Roman" w:cs="Times New Roman" w:eastAsia="Times New Roman" w:hAnsi="Times New Roman"/>
          <w:b/>
          <w:bCs/>
          <w:color w:val="13795B"/>
          <w:sz w:val="24"/>
          <w:szCs w:val="24"/>
        </w:rPr>
        <w:t xml:space="preserve">4.3.4 Relations entre tables et fusion</w:t>
      </w:r>
    </w:p>
    <w:p>
      <w:pPr>
        <w:spacing w:after="200" w:line="360"/>
        <w:jc w:val="both"/>
      </w:pPr>
      <w:r>
        <w:rPr>
          <w:rFonts w:ascii="Times New Roman" w:cs="Times New Roman" w:eastAsia="Times New Roman" w:hAnsi="Times New Roman"/>
          <w:sz w:val="24"/>
          <w:szCs w:val="24"/>
        </w:rPr>
        <w:t xml:space="preserve">Dès que deux tables ou plus sont chargées simultanément, le système compare leurs colonnes réellement présentes — et non uniquement la documentation du dictionnaire — pour identifier les colonnes communes, candidates naturelles de jointure, et peut, sur demande, réaliser une fusion effective (jointure pandas), une anti-jointure (calcul de la différence entre deux tables, dans un sens ou dans les deux), ou simplement décrire la relation identifiée entre deux tables nommées ou implicitement désignées lorsque deux tables seulement sont chargées. Chaque résultat de fusion ou de différence est lui-même enregistré comme une nouvelle table interrogeable, ce qui permet d'enchaîner les analyses (par exemple, calculer un indicateur sur la seule liste des individus présents dans une table et absents d'une autre).</w:t>
      </w:r>
    </w:p>
    <w:p>
      <w:pPr>
        <w:pStyle w:val="Heading3"/>
        <w:spacing w:after="160" w:before="220"/>
      </w:pPr>
      <w:r>
        <w:rPr>
          <w:rFonts w:ascii="Times New Roman" w:cs="Times New Roman" w:eastAsia="Times New Roman" w:hAnsi="Times New Roman"/>
          <w:b/>
          <w:bCs/>
          <w:color w:val="13795B"/>
          <w:sz w:val="24"/>
          <w:szCs w:val="24"/>
        </w:rPr>
        <w:t xml:space="preserve">4.3.5 Aucune table par défaut : une conception délibérément conservatrice face à l'ambiguïté</w:t>
      </w:r>
    </w:p>
    <w:p>
      <w:pPr>
        <w:spacing w:after="200" w:line="360"/>
        <w:jc w:val="both"/>
      </w:pPr>
      <w:r>
        <w:rPr>
          <w:rFonts w:ascii="Times New Roman" w:cs="Times New Roman" w:eastAsia="Times New Roman" w:hAnsi="Times New Roman"/>
          <w:sz w:val="24"/>
          <w:szCs w:val="24"/>
        </w:rPr>
        <w:t xml:space="preserve">Un choix de conception a évolué au cours du projet et mérite d'être documenté pour sa portée méthodologique : la première version du système permettait de désigner, dans la barre latérale de l'interface, une table active par défaut, utilisée implicitement chaque fois qu'une question ne nommait aucune table. Ce choix, bien que pratique, présentait un risque silencieux : une question ambiguë pouvait recevoir une réponse portant sur la mauvaise table, sans que l'utilisateur en soit averti. La version finale du système a supprimé cette notion de table par défaut : lorsqu'une question ne permet de résoudre ni un nom de table explicite, ni une colonne qui n'appartiendrait qu'à une seule table, ni un contexte de conversation exploitable, le système applique désormais le calcul demandé à l'ensemble des tables chargées concernées (pour les contrôles qui s'y prêtent, tels que les doublons ou la cohérence), ou bien renonce explicitement à deviner et formule une demande de précision citant les véritables tables et colonnes chargées, plutôt qu'un exemple générique. Ce choix illustre un principe de conception plus général retenu pour l'ensemble du système : en cas d'ambiguïté sur une réponse chiffrée, le système doit soit élargir son calcul de façon transparente, soit demander une précision, mais jamais deviner silencieusement.</w:t>
      </w:r>
    </w:p>
    <w:p>
      <w:pPr>
        <w:pStyle w:val="Heading2"/>
        <w:spacing w:after="200" w:before="300"/>
      </w:pPr>
      <w:r>
        <w:rPr>
          <w:rFonts w:ascii="Times New Roman" w:cs="Times New Roman" w:eastAsia="Times New Roman" w:hAnsi="Times New Roman"/>
          <w:b/>
          <w:bCs/>
          <w:color w:val="0B2545"/>
          <w:sz w:val="27"/>
          <w:szCs w:val="27"/>
        </w:rPr>
        <w:t xml:space="preserve">4.4 Module de suivi des performances de terrain</w:t>
      </w:r>
    </w:p>
    <w:p>
      <w:pPr>
        <w:spacing w:after="200" w:line="360"/>
        <w:jc w:val="both"/>
      </w:pPr>
      <w:r>
        <w:rPr>
          <w:rFonts w:ascii="Times New Roman" w:cs="Times New Roman" w:eastAsia="Times New Roman" w:hAnsi="Times New Roman"/>
          <w:sz w:val="24"/>
          <w:szCs w:val="24"/>
        </w:rPr>
        <w:t xml:space="preserve">Distinct des contrôles de cohérence (qui mesurent des erreurs), le module de performance de terrain répond au troisième besoin opérationnel identifié au chapitre 1 : le suivi de l'avancement de la collecte. Il agrège automatiquement, sur l'ensemble des tables chargées comportant une colonne d'agent détectable, le nombre de ménages et d'unités collectives d'habitation visités (en dénombrant les identifiants distincts, pour éviter tout double comptage), ainsi que les naissances, décès et grossesses enregistrés par agent. Une exclusion d'agents non pertinents (personnel non affecté au terrain) reste configurable directement depuis la question posée, aucune liste n'étant codée en dur dans le système — l'observatoire restant seul décisionnaire des exclusions à appliquer. Lorsqu'une table « équipe » associant chaque agent à un contrôleur est chargée, une jointure automatique enrichit le rapport d'un niveau de supervision. Le module calcule également, à partir d'un objectif de collecte configurable (paramètre par défaut : 17 000 ménages), le cumul déjà atteint, le reste à réaliser, le rythme journalier moyen observé et une date de fin projetée au rythme actuel, restituée à la fois sous forme de texte et de courbe de progression. Un rapport au format Word, reprenant le tableau détaillé par agent et la projection vers l'objectif, peut être généré et téléchargé pour un partage hors de l'application, par exemple lors d'une réunion de coordination de terrain.</w:t>
      </w:r>
    </w:p>
    <w:p>
      <w:pPr>
        <w:pStyle w:val="Heading2"/>
        <w:spacing w:after="200" w:before="300"/>
      </w:pPr>
      <w:r>
        <w:rPr>
          <w:rFonts w:ascii="Times New Roman" w:cs="Times New Roman" w:eastAsia="Times New Roman" w:hAnsi="Times New Roman"/>
          <w:b/>
          <w:bCs/>
          <w:color w:val="0B2545"/>
          <w:sz w:val="27"/>
          <w:szCs w:val="27"/>
        </w:rPr>
        <w:t xml:space="preserve">4.5 Authentification, sécurité et gouvernance</w:t>
      </w:r>
    </w:p>
    <w:p>
      <w:pPr>
        <w:spacing w:after="200" w:line="360"/>
        <w:jc w:val="both"/>
      </w:pPr>
      <w:r>
        <w:rPr>
          <w:rFonts w:ascii="Times New Roman" w:cs="Times New Roman" w:eastAsia="Times New Roman" w:hAnsi="Times New Roman"/>
          <w:sz w:val="24"/>
          <w:szCs w:val="24"/>
        </w:rPr>
        <w:t xml:space="preserve">L'accès à l'ensemble de l'application — tables déposées, historique de conversation, documents — est protégé par un écran de connexion (bibliothèque streamlit-authenticator), auquel un design spécifique a été apporté (palette de couleurs institutionnelle, logo de l'ISSP) afin de présenter une image professionnelle cohérente avec l'usage institutionnel visé. Les comptes et leur rôle (« correction », à accès complet, ou « consultation ») sont définis soit dans un fichier de configuration local, volontairement exclu du suivi de version pour éviter toute exposition de mots de passe réels dans un dépôt de code potentiellement public, soit — solution recommandée pour un déploiement réel — dans le gestionnaire de secrets natif de la plateforme d'hébergement. Un mécanisme de conversion récursive a été nécessaire pour rendre ces secrets, en lecture seule à tous les niveaux d'imbrication dans l'environnement d'hébergement retenu, exploitables par la bibliothèque d'authentification, dont le mécanisme de hachage des mots de passe nécessite de pouvoir modifier la structure en mémoire ; cette difficulté technique, rencontrée en cours de déploiement, illustre le niveau de détail auquel expose un déploiement réel par rapport à un développement en environnement local. Le fichier temporaire créé lors du dépôt d'une table, le temps de sa lecture, est systématiquement supprimé du serveur immédiatement après son chargement, y compris en cas d'erreur de lecture, afin de ne laisser aucune trace de données déposées sur le disque du serveur au-delà du strict temps de traitement.</w:t>
      </w:r>
    </w:p>
    <w:p>
      <w:pPr>
        <w:pStyle w:val="Heading2"/>
        <w:spacing w:after="200" w:before="300"/>
      </w:pPr>
      <w:r>
        <w:rPr>
          <w:rFonts w:ascii="Times New Roman" w:cs="Times New Roman" w:eastAsia="Times New Roman" w:hAnsi="Times New Roman"/>
          <w:b/>
          <w:bCs/>
          <w:color w:val="0B2545"/>
          <w:sz w:val="27"/>
          <w:szCs w:val="27"/>
        </w:rPr>
        <w:t xml:space="preserve">4.6 Interface utilisateur et expérience conversationnelle</w:t>
      </w:r>
    </w:p>
    <w:p>
      <w:pPr>
        <w:spacing w:after="200" w:line="360"/>
        <w:jc w:val="both"/>
      </w:pPr>
      <w:r>
        <w:rPr>
          <w:rFonts w:ascii="Times New Roman" w:cs="Times New Roman" w:eastAsia="Times New Roman" w:hAnsi="Times New Roman"/>
          <w:sz w:val="24"/>
          <w:szCs w:val="24"/>
        </w:rPr>
        <w:t xml:space="preserve">L'interface se présente sous la forme d'un fil de discussion unique, dans lequel l'utilisateur peut, sans distinction de mode, poser une question documentaire, déposer une ou plusieurs tables et demander un calcul, ou déposer une image d'une fiche de terrain scannée pour une lecture ponctuelle assistée par le modèle de langage. La reconnaissance des formulations a été conçue pour tolérer une écriture libre en français courant, y compris sans accents et avec des variations grammaticales, ainsi que des désignations informelles de table (par exemple « la table education » pour désigner la table techniquement nommée FNewEducation), la reconnaissance stricte par mot entier permettant d'éviter qu'un nom de colonne ne soit confondu à tort avec un nom de table proche.</w:t>
      </w:r>
    </w:p>
    <w:p>
      <w:pPr>
        <w:pStyle w:val="Heading2"/>
        <w:spacing w:after="200" w:before="300"/>
      </w:pPr>
      <w:r>
        <w:rPr>
          <w:rFonts w:ascii="Times New Roman" w:cs="Times New Roman" w:eastAsia="Times New Roman" w:hAnsi="Times New Roman"/>
          <w:b/>
          <w:bCs/>
          <w:color w:val="0B2545"/>
          <w:sz w:val="27"/>
          <w:szCs w:val="27"/>
        </w:rPr>
        <w:t xml:space="preserve">4.7 Séquence logique de traitement d'une question</w:t>
      </w:r>
    </w:p>
    <w:p>
      <w:pPr>
        <w:spacing w:after="200" w:line="360"/>
        <w:jc w:val="both"/>
      </w:pPr>
      <w:r>
        <w:rPr>
          <w:rFonts w:ascii="Times New Roman" w:cs="Times New Roman" w:eastAsia="Times New Roman" w:hAnsi="Times New Roman"/>
          <w:sz w:val="24"/>
          <w:szCs w:val="24"/>
        </w:rPr>
        <w:t xml:space="preserve">Le tableau suivant détaille, étape par étape, la séquence logique suivie par chacun des deux chemins de traitement décrits à la section 3.3, depuis la réception de la question jusqu'à la restitution de la réponse à l'utilisateur.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900"/>
      </w:tblGrid>
      <w:tr>
        <w:trPr>
          <w:tblHeader/>
        </w:trPr>
        <w:tc>
          <w:tcPr>
            <w:tcW w:type="dxa" w:w="9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Étape</w:t>
            </w:r>
          </w:p>
        </w:tc>
        <w:tc>
          <w:tcPr>
            <w:tcW w:type="dxa" w:w="39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Chemin 1 — Question documentaire</w:t>
            </w:r>
          </w:p>
        </w:tc>
        <w:tc>
          <w:tcPr>
            <w:tcW w:type="dxa" w:w="39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Chemin 2 — Question d'analyse</w:t>
            </w:r>
          </w:p>
        </w:tc>
      </w:tr>
      <w:tr>
        <w:tc>
          <w:tcPr>
            <w:tcW w:type="dxa" w:w="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Réception de la question dans le fil de discussion</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Réception de la question + tables déjà déposées en mémoire de session</w:t>
            </w:r>
          </w:p>
        </w:tc>
      </w:tr>
      <w:tr>
        <w:tc>
          <w:tcPr>
            <w:tcW w:type="dxa" w:w="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2</w:t>
            </w:r>
          </w:p>
        </w:tc>
        <w:tc>
          <w:tcPr>
            <w:tcW w:type="dxa" w:w="3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Classification d'intention (mots-clés puis LLM si ambigu)</w:t>
            </w:r>
          </w:p>
        </w:tc>
        <w:tc>
          <w:tcPr>
            <w:tcW w:type="dxa" w:w="3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Classification d'intention (mots-clés puis LLM si ambigu)</w:t>
            </w:r>
          </w:p>
        </w:tc>
      </w:tr>
      <w:tr>
        <w:tc>
          <w:tcPr>
            <w:tcW w:type="dxa" w:w="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3</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Recherche TF-IDF dans le corpus indexé</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Résolution de la ou des tables ciblées (nom, colonne, historique, ou toutes les tables)</w:t>
            </w:r>
          </w:p>
        </w:tc>
      </w:tr>
      <w:tr>
        <w:tc>
          <w:tcPr>
            <w:tcW w:type="dxa" w:w="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4</w:t>
            </w:r>
          </w:p>
        </w:tc>
        <w:tc>
          <w:tcPr>
            <w:tcW w:type="dxa" w:w="3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Sélection des fragments les plus pertinents</w:t>
            </w:r>
          </w:p>
        </w:tc>
        <w:tc>
          <w:tcPr>
            <w:tcW w:type="dxa" w:w="3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Détection automatique des colonnes utiles (identifiant, date, agent...)</w:t>
            </w:r>
          </w:p>
        </w:tc>
      </w:tr>
      <w:tr>
        <w:tc>
          <w:tcPr>
            <w:tcW w:type="dxa" w:w="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5</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Construction du prompt (contexte + question + historique)</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Calcul déterministe (pandas) du résultat demandé</w:t>
            </w:r>
          </w:p>
        </w:tc>
      </w:tr>
      <w:tr>
        <w:tc>
          <w:tcPr>
            <w:tcW w:type="dxa" w:w="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6</w:t>
            </w:r>
          </w:p>
        </w:tc>
        <w:tc>
          <w:tcPr>
            <w:tcW w:type="dxa" w:w="3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Appel au modèle de langage (Groq ou Claude)</w:t>
            </w:r>
          </w:p>
        </w:tc>
        <w:tc>
          <w:tcPr>
            <w:tcW w:type="dxa" w:w="39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Génération de la syntaxe R/Stata équivalente</w:t>
            </w:r>
          </w:p>
        </w:tc>
      </w:tr>
      <w:tr>
        <w:tc>
          <w:tcPr>
            <w:tcW w:type="dxa" w:w="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7</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Restitution de la réponse rédigée, sources citées</w:t>
            </w:r>
          </w:p>
        </w:tc>
        <w:tc>
          <w:tcPr>
            <w:tcW w:type="dxa" w:w="39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Restitution du résultat chiffré, export CSV/Excel/Stata/Word proposé</w:t>
            </w:r>
          </w:p>
        </w:tc>
      </w:tr>
    </w:tbl>
    <w:p>
      <w:pPr>
        <w:spacing w:after="300" w:before="100"/>
        <w:jc w:val="center"/>
      </w:pPr>
      <w:r>
        <w:rPr>
          <w:rFonts w:ascii="Times New Roman" w:cs="Times New Roman" w:eastAsia="Times New Roman" w:hAnsi="Times New Roman"/>
          <w:i/>
          <w:iCs/>
          <w:color w:val="555555"/>
          <w:sz w:val="21"/>
          <w:szCs w:val="21"/>
        </w:rPr>
        <w:t xml:space="preserve">Tableau 5 — Séquence logique comparée des deux chemins de traitement.</w:t>
      </w:r>
    </w:p>
    <w:p>
      <w:pPr>
        <w:pStyle w:val="Heading2"/>
        <w:spacing w:after="200" w:before="300"/>
      </w:pPr>
      <w:r>
        <w:rPr>
          <w:rFonts w:ascii="Times New Roman" w:cs="Times New Roman" w:eastAsia="Times New Roman" w:hAnsi="Times New Roman"/>
          <w:b/>
          <w:bCs/>
          <w:color w:val="0B2545"/>
          <w:sz w:val="27"/>
          <w:szCs w:val="27"/>
        </w:rPr>
        <w:t xml:space="preserve">4.8 Déploiement</w:t>
      </w:r>
    </w:p>
    <w:p>
      <w:pPr>
        <w:spacing w:after="200" w:line="360"/>
        <w:jc w:val="both"/>
      </w:pPr>
      <w:r>
        <w:rPr>
          <w:rFonts w:ascii="Times New Roman" w:cs="Times New Roman" w:eastAsia="Times New Roman" w:hAnsi="Times New Roman"/>
          <w:sz w:val="24"/>
          <w:szCs w:val="24"/>
        </w:rPr>
        <w:t xml:space="preserve">L'application est déployée sur Streamlit Community Cloud à partir d'un dépôt GitHub, avec la clé du fournisseur de modèle de langage et les identifiants de connexion configurés exclusivement via le gestionnaire de secrets de la plateforme, jamais dans le code source. L'accès au lien de l'application peut être restreint aux seules adresses de courriel de l'équipe autorisée. Pour un usage institutionnel durable, un hébergement sur un serveur privé dédié, avec chiffrement des échanges et éventuelle restriction par réseau privé virtuel, constitue une évolution envisageable, discutée au chapitre 6.</w:t>
      </w:r>
    </w:p>
    <w:p>
      <w:pPr>
        <w:pStyle w:val="Heading1"/>
        <w:pageBreakBefore/>
        <w:spacing w:after="300" w:before="200"/>
      </w:pPr>
      <w:r>
        <w:rPr>
          <w:rFonts w:ascii="Times New Roman" w:cs="Times New Roman" w:eastAsia="Times New Roman" w:hAnsi="Times New Roman"/>
          <w:b/>
          <w:bCs/>
          <w:color w:val="0B2545"/>
          <w:sz w:val="32"/>
          <w:szCs w:val="32"/>
        </w:rPr>
        <w:t xml:space="preserve">Chapitre 5 — Résultats et évaluation</w:t>
      </w:r>
    </w:p>
    <w:p>
      <w:pPr>
        <w:pStyle w:val="Heading2"/>
        <w:spacing w:after="200" w:before="300"/>
      </w:pPr>
      <w:r>
        <w:rPr>
          <w:rFonts w:ascii="Times New Roman" w:cs="Times New Roman" w:eastAsia="Times New Roman" w:hAnsi="Times New Roman"/>
          <w:b/>
          <w:bCs/>
          <w:color w:val="0B2545"/>
          <w:sz w:val="27"/>
          <w:szCs w:val="27"/>
        </w:rPr>
        <w:t xml:space="preserve">5.1 Résultats fonctionnels</w:t>
      </w:r>
    </w:p>
    <w:p>
      <w:pPr>
        <w:spacing w:after="200" w:line="360"/>
        <w:jc w:val="both"/>
      </w:pPr>
      <w:r>
        <w:rPr>
          <w:rFonts w:ascii="Times New Roman" w:cs="Times New Roman" w:eastAsia="Times New Roman" w:hAnsi="Times New Roman"/>
          <w:sz w:val="24"/>
          <w:szCs w:val="24"/>
        </w:rPr>
        <w:t xml:space="preserve">Au terme du développement, le système livre l'ensemble des fonctionnalités visées par les objectifs spécifiques énoncés en introduction. Le tableau 2 en présente une synthèse par grande fonction, avec le module technique correspondant.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000"/>
      </w:tblGrid>
      <w:tr>
        <w:trPr>
          <w:tblHeader/>
        </w:trPr>
        <w:tc>
          <w:tcPr>
            <w:tcW w:type="dxa" w:w="32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Fonctionnalité</w:t>
            </w:r>
          </w:p>
        </w:tc>
        <w:tc>
          <w:tcPr>
            <w:tcW w:type="dxa" w:w="42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Exemple de question</w:t>
            </w:r>
          </w:p>
        </w:tc>
        <w:tc>
          <w:tcPr>
            <w:tcW w:type="dxa" w:w="20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Module</w:t>
            </w:r>
          </w:p>
        </w:tc>
      </w:tr>
      <w:tr>
        <w:tc>
          <w:tcPr>
            <w:tcW w:type="dxa" w:w="3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Recherche documentaire</w:t>
            </w:r>
          </w:p>
        </w:tc>
        <w:tc>
          <w:tcPr>
            <w:tcW w:type="dxa" w:w="4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 Que signifie fatherid dans Tindividual ? »</w:t>
            </w:r>
          </w:p>
        </w:tc>
        <w:tc>
          <w:tcPr>
            <w:tcW w:type="dxa" w:w="2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RAG (rag.py)</w:t>
            </w:r>
          </w:p>
        </w:tc>
      </w:tr>
      <w:tr>
        <w:tc>
          <w:tcPr>
            <w:tcW w:type="dxa" w:w="3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Répartition / échantillon</w:t>
            </w:r>
          </w:p>
        </w:tc>
        <w:tc>
          <w:tcPr>
            <w:tcW w:type="dxa" w:w="4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 Répartition de sex », « échantillon de 100 »</w:t>
            </w:r>
          </w:p>
        </w:tc>
        <w:tc>
          <w:tcPr>
            <w:tcW w:type="dxa" w:w="2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data_tools.py</w:t>
            </w:r>
          </w:p>
        </w:tc>
      </w:tr>
      <w:tr>
        <w:tc>
          <w:tcPr>
            <w:tcW w:type="dxa" w:w="3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Tableau croisé / corrélation</w:t>
            </w:r>
          </w:p>
        </w:tc>
        <w:tc>
          <w:tcPr>
            <w:tcW w:type="dxa" w:w="4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 Tableau croisé entre sex et education_level »</w:t>
            </w:r>
          </w:p>
        </w:tc>
        <w:tc>
          <w:tcPr>
            <w:tcW w:type="dxa" w:w="2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data_tools.py</w:t>
            </w:r>
          </w:p>
        </w:tc>
      </w:tr>
      <w:tr>
        <w:tc>
          <w:tcPr>
            <w:tcW w:type="dxa" w:w="3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Détection de doublons / cohérence</w:t>
            </w:r>
          </w:p>
        </w:tc>
        <w:tc>
          <w:tcPr>
            <w:tcW w:type="dxa" w:w="4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 Audit de cohérence avancé »</w:t>
            </w:r>
          </w:p>
        </w:tc>
        <w:tc>
          <w:tcPr>
            <w:tcW w:type="dxa" w:w="2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data_tools.py</w:t>
            </w:r>
          </w:p>
        </w:tc>
      </w:tr>
      <w:tr>
        <w:tc>
          <w:tcPr>
            <w:tcW w:type="dxa" w:w="3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Relation et fusion entre tables</w:t>
            </w:r>
          </w:p>
        </w:tc>
        <w:tc>
          <w:tcPr>
            <w:tcW w:type="dxa" w:w="4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 Fusionne Tindividual et TMembership »</w:t>
            </w:r>
          </w:p>
        </w:tc>
        <w:tc>
          <w:tcPr>
            <w:tcW w:type="dxa" w:w="2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data_tools.py</w:t>
            </w:r>
          </w:p>
        </w:tc>
      </w:tr>
      <w:tr>
        <w:tc>
          <w:tcPr>
            <w:tcW w:type="dxa" w:w="3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Performance de terrain</w:t>
            </w:r>
          </w:p>
        </w:tc>
        <w:tc>
          <w:tcPr>
            <w:tcW w:type="dxa" w:w="4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 Bilan de terrain », « ménages visités par agent »</w:t>
            </w:r>
          </w:p>
        </w:tc>
        <w:tc>
          <w:tcPr>
            <w:tcW w:type="dxa" w:w="2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data_tools.py</w:t>
            </w:r>
          </w:p>
        </w:tc>
      </w:tr>
      <w:tr>
        <w:tc>
          <w:tcPr>
            <w:tcW w:type="dxa" w:w="3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Lecture d'image de terrain</w:t>
            </w:r>
          </w:p>
        </w:tc>
        <w:tc>
          <w:tcPr>
            <w:tcW w:type="dxa" w:w="4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Dépôt d'une fiche scannée + question</w:t>
            </w:r>
          </w:p>
        </w:tc>
        <w:tc>
          <w:tcPr>
            <w:tcW w:type="dxa" w:w="2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rag.py (vision)</w:t>
            </w:r>
          </w:p>
        </w:tc>
      </w:tr>
      <w:tr>
        <w:tc>
          <w:tcPr>
            <w:tcW w:type="dxa" w:w="3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Authentification et rôles</w:t>
            </w:r>
          </w:p>
        </w:tc>
        <w:tc>
          <w:tcPr>
            <w:tcW w:type="dxa" w:w="4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Écran de connexion nominatif</w:t>
            </w:r>
          </w:p>
        </w:tc>
        <w:tc>
          <w:tcPr>
            <w:tcW w:type="dxa" w:w="2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auth.py</w:t>
            </w:r>
          </w:p>
        </w:tc>
      </w:tr>
    </w:tbl>
    <w:p>
      <w:pPr>
        <w:spacing w:after="300" w:before="100"/>
        <w:jc w:val="center"/>
      </w:pPr>
      <w:r>
        <w:rPr>
          <w:rFonts w:ascii="Times New Roman" w:cs="Times New Roman" w:eastAsia="Times New Roman" w:hAnsi="Times New Roman"/>
          <w:i/>
          <w:iCs/>
          <w:color w:val="555555"/>
          <w:sz w:val="21"/>
          <w:szCs w:val="21"/>
        </w:rPr>
        <w:t xml:space="preserve">Tableau 2 — Synthèse des fonctionnalités livrées.</w:t>
      </w:r>
    </w:p>
    <w:p>
      <w:pPr>
        <w:pStyle w:val="Heading2"/>
        <w:spacing w:after="200" w:before="300"/>
      </w:pPr>
      <w:r>
        <w:rPr>
          <w:rFonts w:ascii="Times New Roman" w:cs="Times New Roman" w:eastAsia="Times New Roman" w:hAnsi="Times New Roman"/>
          <w:b/>
          <w:bCs/>
          <w:color w:val="0B2545"/>
          <w:sz w:val="27"/>
          <w:szCs w:val="27"/>
        </w:rPr>
        <w:t xml:space="preserve">5.2 Validation par les tests automatisés</w:t>
      </w:r>
    </w:p>
    <w:p>
      <w:pPr>
        <w:spacing w:after="200" w:line="360"/>
        <w:jc w:val="both"/>
      </w:pPr>
      <w:r>
        <w:rPr>
          <w:rFonts w:ascii="Times New Roman" w:cs="Times New Roman" w:eastAsia="Times New Roman" w:hAnsi="Times New Roman"/>
          <w:sz w:val="24"/>
          <w:szCs w:val="24"/>
        </w:rPr>
        <w:t xml:space="preserve">La fiabilité du système a été évaluée par l'exécution systématique d'une suite de 180 tests automatisés, dont la répartition par module est présentée dans le tableau 3. L'ensemble de la suite s'exécute avant toute mise en production d'une évolution, garantissant qu'une modification apportée à une fonctionnalité ne dégrade pas silencieusement le comportement d'une autre — exigence particulièrement importante dans un système où plusieurs modules interagissent (par exemple, la détection de table ciblée intervient à la fois dans les analyses univariées et dans le module de performance de terrain).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800"/>
      </w:tblGrid>
      <w:tr>
        <w:trPr>
          <w:tblHeader/>
        </w:trPr>
        <w:tc>
          <w:tcPr>
            <w:tcW w:type="dxa" w:w="34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Module testé</w:t>
            </w:r>
          </w:p>
        </w:tc>
        <w:tc>
          <w:tcPr>
            <w:tcW w:type="dxa" w:w="22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Nombre de tests</w:t>
            </w:r>
          </w:p>
        </w:tc>
        <w:tc>
          <w:tcPr>
            <w:tcW w:type="dxa" w:w="38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Nature des tests</w:t>
            </w:r>
          </w:p>
        </w:tc>
      </w:tr>
      <w:tr>
        <w:tc>
          <w:tcPr>
            <w:tcW w:type="dxa" w:w="3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data_tools.py (analyse de données)</w:t>
            </w:r>
          </w:p>
        </w:tc>
        <w:tc>
          <w:tcPr>
            <w:tcW w:type="dxa" w:w="2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~101</w:t>
            </w:r>
          </w:p>
        </w:tc>
        <w:tc>
          <w:tcPr>
            <w:tcW w:type="dxa" w:w="38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 unitaires : calculs, détections, contrôles de cohérence</w:t>
            </w:r>
          </w:p>
        </w:tc>
      </w:tr>
      <w:tr>
        <w:tc>
          <w:tcPr>
            <w:tcW w:type="dxa" w:w="34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app.py (interface, bout en bout)</w:t>
            </w:r>
          </w:p>
        </w:tc>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32</w:t>
            </w:r>
          </w:p>
        </w:tc>
        <w:tc>
          <w:tcPr>
            <w:tcW w:type="dxa" w:w="38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Conversations multi-tours simulées (AppTest)</w:t>
            </w:r>
          </w:p>
        </w:tc>
      </w:tr>
      <w:tr>
        <w:tc>
          <w:tcPr>
            <w:tcW w:type="dxa" w:w="3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auth.py (authentification)</w:t>
            </w:r>
          </w:p>
        </w:tc>
        <w:tc>
          <w:tcPr>
            <w:tcW w:type="dxa" w:w="2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~15</w:t>
            </w:r>
          </w:p>
        </w:tc>
        <w:tc>
          <w:tcPr>
            <w:tcW w:type="dxa" w:w="38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Chargement des secrets, hachage, avertissements</w:t>
            </w:r>
          </w:p>
        </w:tc>
      </w:tr>
      <w:tr>
        <w:tc>
          <w:tcPr>
            <w:tcW w:type="dxa" w:w="34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rag.py (recherche documentaire)</w:t>
            </w:r>
          </w:p>
        </w:tc>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~20</w:t>
            </w:r>
          </w:p>
        </w:tc>
        <w:tc>
          <w:tcPr>
            <w:tcW w:type="dxa" w:w="38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Récupération, garde-fous, classification d'intention</w:t>
            </w:r>
          </w:p>
        </w:tc>
      </w:tr>
      <w:tr>
        <w:tc>
          <w:tcPr>
            <w:tcW w:type="dxa" w:w="34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ingest.py / prepare_corpus.py</w:t>
            </w:r>
          </w:p>
        </w:tc>
        <w:tc>
          <w:tcPr>
            <w:tcW w:type="dxa" w:w="22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~12</w:t>
            </w:r>
          </w:p>
        </w:tc>
        <w:tc>
          <w:tcPr>
            <w:tcW w:type="dxa" w:w="38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Découpage en chunks, conversion de documents</w:t>
            </w:r>
          </w:p>
        </w:tc>
      </w:tr>
      <w:tr>
        <w:tc>
          <w:tcPr>
            <w:tcW w:type="dxa" w:w="34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Total</w:t>
            </w:r>
          </w:p>
        </w:tc>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180</w:t>
            </w:r>
          </w:p>
        </w:tc>
        <w:tc>
          <w:tcPr>
            <w:tcW w:type="dxa" w:w="38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w:t>
            </w:r>
          </w:p>
        </w:tc>
      </w:tr>
    </w:tbl>
    <w:p>
      <w:pPr>
        <w:spacing w:after="300" w:before="100"/>
        <w:jc w:val="center"/>
      </w:pPr>
      <w:r>
        <w:rPr>
          <w:rFonts w:ascii="Times New Roman" w:cs="Times New Roman" w:eastAsia="Times New Roman" w:hAnsi="Times New Roman"/>
          <w:i/>
          <w:iCs/>
          <w:color w:val="555555"/>
          <w:sz w:val="21"/>
          <w:szCs w:val="21"/>
        </w:rPr>
        <w:t xml:space="preserve">Tableau 3 — Répartition indicative de la suite de tests automatisés par module (180 tests au total).</w:t>
      </w:r>
    </w:p>
    <w:p>
      <w:pPr>
        <w:spacing w:after="200" w:line="360"/>
        <w:jc w:val="both"/>
      </w:pPr>
      <w:r>
        <w:rPr>
          <w:rFonts w:ascii="Times New Roman" w:cs="Times New Roman" w:eastAsia="Times New Roman" w:hAnsi="Times New Roman"/>
          <w:sz w:val="24"/>
          <w:szCs w:val="24"/>
        </w:rPr>
        <w:t xml:space="preserve">Au-delà des tests unitaires, les tests de bout en bout se sont révélés particulièrement utiles pour révéler des défauts d'intégration invisibles au niveau unitaire. Un exemple documenté au cours du développement illustre ce point : la reconnaissance d'un nom de table informel (« education » pour désigner la table FNewEducation) provoquait, avant correction, une confusion avec une colonne légitimement nommée education_level, présente dans une autre table, parce que la comparaison textuelle initiale ne respectait pas les limites de mot. Ce défaut, sans conséquence visible sur les tests unitaires existants, a été détecté à l'occasion de l'écriture d'un nouveau test de bout en bout portant sur les analyses multi-colonnes, puis corrigé par l'introduction d'une comparaison par expression régulière respectant les limites de mot — illustration concrète de la valeur ajoutée d'une stratégie de test à plusieurs niveaux plutôt que strictement unitaire.</w:t>
      </w:r>
    </w:p>
    <w:p>
      <w:pPr>
        <w:pStyle w:val="Heading2"/>
        <w:spacing w:after="200" w:before="300"/>
      </w:pPr>
      <w:r>
        <w:rPr>
          <w:rFonts w:ascii="Times New Roman" w:cs="Times New Roman" w:eastAsia="Times New Roman" w:hAnsi="Times New Roman"/>
          <w:b/>
          <w:bCs/>
          <w:color w:val="0B2545"/>
          <w:sz w:val="27"/>
          <w:szCs w:val="27"/>
        </w:rPr>
        <w:t xml:space="preserve">5.3 Exemples de scénarios d'usage</w:t>
      </w:r>
    </w:p>
    <w:p>
      <w:pPr>
        <w:spacing w:after="200" w:line="360"/>
        <w:jc w:val="both"/>
      </w:pPr>
      <w:r>
        <w:rPr>
          <w:rFonts w:ascii="Times New Roman" w:cs="Times New Roman" w:eastAsia="Times New Roman" w:hAnsi="Times New Roman"/>
          <w:sz w:val="24"/>
          <w:szCs w:val="24"/>
        </w:rPr>
        <w:t xml:space="preserve">Quatre scénarios illustrent le fonctionnement combiné des modules décrits au chapitre 4. Premièrement, une question documentaire simple (« que signifie fatherid ? ») déclenche une recherche TF-IDF dans le dictionnaire, retrouve le fragment exact correspondant à la variable, et restitue une définition rédigée avec citation de la table source. Deuxièmement, une question de calcul sur une table déposée (« répartition de sex dans FNewIndividual ») déclenche un calcul pandas direct, restitué avec la syntaxe R et Stata équivalente, sans intervention du modèle de langage dans le résultat chiffré lui-même. Troisièmement, une question d'audit (« audit de cohérence avancé ») sans table nommée, avec plusieurs tables chargées, déclenche désormais le calcul sur l'ensemble des tables concernées, conformément au principe décrit à la section 4.3.5, avec un rapport explicite des contrôles applicables et non applicables à chaque table selon les colonnes détectées. Quatrièmement, une question de suivi de terrain (« bilan de terrain, objectif 20000 ») déclenche l'agrégation multi-tables du module de performance, avec restitution d'une projection de date d'atteinte de l'objectif et proposition de téléchargement d'un rapport Word.</w:t>
      </w:r>
    </w:p>
    <w:p>
      <w:pPr>
        <w:pStyle w:val="Heading2"/>
        <w:spacing w:after="200" w:before="300"/>
      </w:pPr>
      <w:r>
        <w:rPr>
          <w:rFonts w:ascii="Times New Roman" w:cs="Times New Roman" w:eastAsia="Times New Roman" w:hAnsi="Times New Roman"/>
          <w:b/>
          <w:bCs/>
          <w:color w:val="0B2545"/>
          <w:sz w:val="27"/>
          <w:szCs w:val="27"/>
        </w:rPr>
        <w:t xml:space="preserve">5.4 Retour d'usage et itérations avec l'équipe de l'observatoire</w:t>
      </w:r>
    </w:p>
    <w:p>
      <w:pPr>
        <w:spacing w:after="200" w:line="360"/>
        <w:jc w:val="both"/>
      </w:pPr>
      <w:r>
        <w:rPr>
          <w:rFonts w:ascii="Times New Roman" w:cs="Times New Roman" w:eastAsia="Times New Roman" w:hAnsi="Times New Roman"/>
          <w:sz w:val="24"/>
          <w:szCs w:val="24"/>
        </w:rPr>
        <w:t xml:space="preserve">Conformément à la démarche décrite au chapitre 3, le système n'a pas été conçu puis livré en une seule fois, mais mis à l'épreuve par étapes successives auprès de l'équipe de l'OPO, chaque cycle de test faisant remonter des ajustements concrets. Trois exemples illustrent la nature de ces itérations. Le premier concerne la barre latérale de sélection d'une table active par défaut, jugée pratique en apparence mais risquant de produire des réponses silencieusement erronées sur une question ambiguë : ce retour a conduit à la refonte documentée à la section 4.3.5. Le deuxième concerne la reconnaissance des formulations en français courant : les premiers tests ont montré qu'une équipe non technique formule spontanément ses questions de façon plus libre et moins littérale qu'anticipé (absence d'accents, tournures variées, désignations informelles de table), ce qui a motivé un renforcement systématique de la tolérance de reconnaissance décrite à la section 4.6. Le troisième concerne la sécurité : la demande explicite de réactiver un écran de connexion auparavant désactivé à des fins de test, formulée par l'équipe elle-même une fois les fonctionnalités jugées prêtes pour un usage partagé, illustre la manière dont les exigences de gouvernance se sont progressivement précisées au fil du projet plutôt que d'être figées dès l'origine.</w:t>
      </w:r>
    </w:p>
    <w:p>
      <w:pPr>
        <w:spacing w:after="200" w:line="360"/>
        <w:jc w:val="both"/>
      </w:pPr>
      <w:r>
        <w:rPr>
          <w:rFonts w:ascii="Times New Roman" w:cs="Times New Roman" w:eastAsia="Times New Roman" w:hAnsi="Times New Roman"/>
          <w:sz w:val="24"/>
          <w:szCs w:val="24"/>
        </w:rPr>
        <w:t xml:space="preserve">Ces itérations, bien que de nature qualitative et non mesurées par une enquête de satisfaction formalisée, constituent une forme de validation externe complémentaire à la suite de tests automatisés présentée à la section 5.2 : elles attestent que le système répond, au moins pour les cas testés en conditions réelles, aux attentes concrètes de ses utilisateurs visés, et non uniquement aux spécifications anticipées a priori par le concepteur du système.</w:t>
      </w:r>
    </w:p>
    <w:p>
      <w:pPr>
        <w:pStyle w:val="Heading2"/>
        <w:spacing w:after="200" w:before="300"/>
      </w:pPr>
      <w:r>
        <w:rPr>
          <w:rFonts w:ascii="Times New Roman" w:cs="Times New Roman" w:eastAsia="Times New Roman" w:hAnsi="Times New Roman"/>
          <w:b/>
          <w:bCs/>
          <w:color w:val="0B2545"/>
          <w:sz w:val="27"/>
          <w:szCs w:val="27"/>
        </w:rPr>
        <w:t xml:space="preserve">5.5 Discussion des résultats au regard des objectifs et de la littérature</w:t>
      </w:r>
    </w:p>
    <w:p>
      <w:pPr>
        <w:spacing w:after="200" w:line="360"/>
        <w:jc w:val="both"/>
      </w:pPr>
      <w:r>
        <w:rPr>
          <w:rFonts w:ascii="Times New Roman" w:cs="Times New Roman" w:eastAsia="Times New Roman" w:hAnsi="Times New Roman"/>
          <w:sz w:val="24"/>
          <w:szCs w:val="24"/>
        </w:rPr>
        <w:t xml:space="preserve">Les résultats obtenus répondent aux trois objectifs spécifiques énoncés en introduction. L'objectif documentaire est atteint par un module RAG fondé sur une recherche lexicale volontairement simple, conformément à l'arbitrage justifié à la section 2.4 de la revue de littérature, complété par une mémoire conversationnelle et une reformulation de requête qui en compensent partiellement les limites intrinsèques. L'objectif d'analyse déterministe est atteint par un module qui ne s'appuie jamais sur le modèle de langage pour produire un résultat chiffré, ce qui répond directement à la préoccupation d'hallucination documentée à la section 2.2 : l'architecture retenue déplace le risque d'erreur du modèle génératif vers le code déterministe, dont la correction est, elle, vérifiable par des tests reproductibles — changement de nature du risque plutôt que sa disparition totale, mais changement qui rend ce risque gérable par les méthodes usuelles du génie logiciel. L'objectif de gouvernance est atteint par l'ensemble des garde-fous décrits à la section 4.5, cohérents avec les préoccupations de confidentialité identifiées dans la littérature sur les risques propres aux architectures RAG (section 2.6).</w:t>
      </w:r>
    </w:p>
    <w:p>
      <w:pPr>
        <w:pStyle w:val="Heading1"/>
        <w:pageBreakBefore/>
        <w:spacing w:after="300" w:before="200"/>
      </w:pPr>
      <w:r>
        <w:rPr>
          <w:rFonts w:ascii="Times New Roman" w:cs="Times New Roman" w:eastAsia="Times New Roman" w:hAnsi="Times New Roman"/>
          <w:b/>
          <w:bCs/>
          <w:color w:val="0B2545"/>
          <w:sz w:val="32"/>
          <w:szCs w:val="32"/>
        </w:rPr>
        <w:t xml:space="preserve">Chapitre 6 — Discussion, limites et perspectives</w:t>
      </w:r>
    </w:p>
    <w:p>
      <w:pPr>
        <w:pStyle w:val="Heading2"/>
        <w:spacing w:after="200" w:before="300"/>
      </w:pPr>
      <w:r>
        <w:rPr>
          <w:rFonts w:ascii="Times New Roman" w:cs="Times New Roman" w:eastAsia="Times New Roman" w:hAnsi="Times New Roman"/>
          <w:b/>
          <w:bCs/>
          <w:color w:val="0B2545"/>
          <w:sz w:val="27"/>
          <w:szCs w:val="27"/>
        </w:rPr>
        <w:t xml:space="preserve">6.1 Discussion générale</w:t>
      </w:r>
    </w:p>
    <w:p>
      <w:pPr>
        <w:spacing w:after="200" w:line="360"/>
        <w:jc w:val="both"/>
      </w:pPr>
      <w:r>
        <w:rPr>
          <w:rFonts w:ascii="Times New Roman" w:cs="Times New Roman" w:eastAsia="Times New Roman" w:hAnsi="Times New Roman"/>
          <w:sz w:val="24"/>
          <w:szCs w:val="24"/>
        </w:rPr>
        <w:t xml:space="preserve">Le travail présenté dans ce mémoire confirme qu'une architecture hybride, combinant récupération documentaire et calcul déterministe, constitue une réponse pertinente à la tension entre flexibilité conversationnelle et fiabilité statistique identifiée dans la problématique. Cette architecture n'élimine pas tout risque d'erreur — un défaut dans le code de calcul demeure possible, comme l'illustre l'exemple de confusion entre nom de table et nom de colonne corrigé au cours du développement (section 5.2) — mais elle rend ce risque traitable par les outils usuels du génie logiciel (tests automatisés, revue de code), alors qu'un risque d'hallucination d'un modèle de langage reste, par nature, statistique et non entièrement supprimable par construction.</w:t>
      </w:r>
    </w:p>
    <w:p>
      <w:pPr>
        <w:pStyle w:val="Heading2"/>
        <w:spacing w:after="200" w:before="300"/>
      </w:pPr>
      <w:r>
        <w:rPr>
          <w:rFonts w:ascii="Times New Roman" w:cs="Times New Roman" w:eastAsia="Times New Roman" w:hAnsi="Times New Roman"/>
          <w:b/>
          <w:bCs/>
          <w:color w:val="0B2545"/>
          <w:sz w:val="27"/>
          <w:szCs w:val="27"/>
        </w:rPr>
        <w:t xml:space="preserve">6.2 Limites du travail</w:t>
      </w:r>
    </w:p>
    <w:p>
      <w:pPr>
        <w:spacing w:after="200" w:line="360"/>
        <w:jc w:val="both"/>
      </w:pPr>
      <w:r>
        <w:rPr>
          <w:rFonts w:ascii="Times New Roman" w:cs="Times New Roman" w:eastAsia="Times New Roman" w:hAnsi="Times New Roman"/>
          <w:sz w:val="24"/>
          <w:szCs w:val="24"/>
        </w:rPr>
        <w:t xml:space="preserve">Plusieurs limites doivent être explicitement reconnues. Premièrement, la recherche documentaire lexicale (TF-IDF), retenue pour les raisons exposées à la section 2.4, retrouve moins bien une question très reformulée par rapport au vocabulaire du corpus qu'une recherche sémantique par embeddings ; le mécanisme de reformulation de requête assisté par le modèle de langage n'en compense qu'une partie. Deuxièmement, la classification d'intention (routage entre question documentaire et demande d'analyse) repose d'abord sur la détection de mots-clés, complétée par une classification assistée par le modèle de langage uniquement lorsqu'une clé de fournisseur est configurée et qu'aucun mot-clé ne correspond ; cette approche reste imparfaite face à des formulations très ambiguës ou très éloignées des tournures anticipées. Troisièmement, si l'authentification distingue déjà deux rôles utilisateurs (« consultation » et « correction »), cette distinction n'est aujourd'hui qu'affichée et n'est pas encore appliquée pour restreindre effectivement les fonctionnalités accessibles selon le rôle — un même compte « consultation » peut techniquement déclencher les mêmes calculs qu'un compte « correction ». Quatrièmement, certains contrôles de cohérence les plus spécifiques au contenu détaillé d'un questionnaire (codes de réponse propres à une question de santé précise, par exemple) n'ont pas pu être intégrés au catalogue faute de connaître, au moment de la rédaction, le nom exact des colonnes concernées. Cinquièmement, le système ne dispose pas, à ce stade, d'une connexion directe à une base de données de production (de type PostgreSQL) : il fonctionne exclusivement sur des fichiers déposés ponctuellement par l'utilisateur, ce qui convient à un usage d'analyse ad hoc mais limiterait un usage de suivi en continu sur la base vivante de l'observatoire.</w:t>
      </w:r>
    </w:p>
    <w:p>
      <w:pPr>
        <w:pStyle w:val="Heading2"/>
        <w:spacing w:after="200" w:before="300"/>
      </w:pPr>
      <w:r>
        <w:rPr>
          <w:rFonts w:ascii="Times New Roman" w:cs="Times New Roman" w:eastAsia="Times New Roman" w:hAnsi="Times New Roman"/>
          <w:b/>
          <w:bCs/>
          <w:color w:val="0B2545"/>
          <w:sz w:val="27"/>
          <w:szCs w:val="27"/>
        </w:rPr>
        <w:t xml:space="preserve">6.3 Perspectives d'évolution</w:t>
      </w:r>
    </w:p>
    <w:p>
      <w:pPr>
        <w:spacing w:after="200" w:line="360"/>
        <w:jc w:val="both"/>
      </w:pPr>
      <w:r>
        <w:rPr>
          <w:rFonts w:ascii="Times New Roman" w:cs="Times New Roman" w:eastAsia="Times New Roman" w:hAnsi="Times New Roman"/>
          <w:sz w:val="24"/>
          <w:szCs w:val="24"/>
        </w:rPr>
        <w:t xml:space="preserve">Plusieurs évolutions découlent directement des limites identifiées. Une migration vers une recherche documentaire par embeddings sémantiques (par exemple via la bibliothèque sentence-transformers) pourrait être envisagée si l'usage réel démontre un besoin de meilleure tolérance à la reformulation, sans remettre en cause l'architecture générale du système — seule l'étape de récupération serait affectée. Un routage des intentions par appel de fonction structuré (function calling) côté modèle de langage, plutôt que par détection de mots-clés, constituerait une évolution robuste pour améliorer la reconnaissance de formulations non anticipées. L'application effective de la distinction entre rôles « consultation » et « correction » à l'interface elle-même (masquage ou désactivation de certaines fonctionnalités selon le rôle connecté) constitue une évolution de sécurité prioritaire pour un déploiement en production durable. L'extension du catalogue de contrôles de cohérence métier, au fur et à mesure que les colonnes de codes de réponse spécifiques sont confirmées par l'équipe de l'observatoire, permettrait de couvrir des anomalies aujourd'hui hors du périmètre du système. Enfin, une connexion directe et sécurisée à une base de données de production, en complément du mode actuel par dépôt de fichiers, ouvrirait la voie à un usage de suivi continu, par exemple un tableau de bord de performance de terrain actualisé en temps réel plutôt qu'à la demande.</w:t>
      </w:r>
    </w:p>
    <w:p>
      <w:pPr>
        <w:pStyle w:val="Heading2"/>
        <w:spacing w:after="200" w:before="300"/>
      </w:pPr>
      <w:r>
        <w:rPr>
          <w:rFonts w:ascii="Times New Roman" w:cs="Times New Roman" w:eastAsia="Times New Roman" w:hAnsi="Times New Roman"/>
          <w:b/>
          <w:bCs/>
          <w:color w:val="0B2545"/>
          <w:sz w:val="27"/>
          <w:szCs w:val="27"/>
        </w:rPr>
        <w:t xml:space="preserve">6.4 Recommandations opérationnelles pour l'équipe de l'observatoire</w:t>
      </w:r>
    </w:p>
    <w:p>
      <w:pPr>
        <w:spacing w:after="200" w:line="360"/>
        <w:jc w:val="both"/>
      </w:pPr>
      <w:r>
        <w:rPr>
          <w:rFonts w:ascii="Times New Roman" w:cs="Times New Roman" w:eastAsia="Times New Roman" w:hAnsi="Times New Roman"/>
          <w:sz w:val="24"/>
          <w:szCs w:val="24"/>
        </w:rPr>
        <w:t xml:space="preserve">Indépendamment des perspectives d'évolution technique évoquées ci-dessus, quatre recommandations opérationnelles se dégagent de ce travail pour accompagner un usage durable du système au sein de l'OPO :</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Désigner, au sein de l'équipe, une personne référente responsable de la mise à jour du dictionnaire indexé et de la validation des évolutions du catalogue de contrôles de cohérence, afin que le système reste aligné sur les éventuelles évolutions du questionnaire de collecte ;</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Formaliser, même de façon légère, le retour d'usage de l'équipe (difficultés rencontrées, formulations non reconnues) selon une procédure simple, pour que les itérations futures s'appuient sur un historique structuré plutôt que sur des échanges informels ;</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Clarifier et documenter, avant toute extension des droits d'un compte « correction », le workflow humain de validation des anomalies détectées par les contrôles de cohérence, afin que la distinction entre les deux rôles utilisateurs puisse être effectivement appliquée dans l'interface (cf. section 6.3) ;</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Conserver, quelle que soit l'évolution technique retenue, le principe directeur défendu dans ce mémoire : aucun résultat chiffré ne doit être restitué par le système sans être directement vérifiable par un calcul reproductible sur les données réellement déposées.</w:t>
      </w:r>
    </w:p>
    <w:p>
      <w:pPr>
        <w:pStyle w:val="Heading2"/>
        <w:spacing w:after="200" w:before="300"/>
      </w:pPr>
      <w:r>
        <w:rPr>
          <w:rFonts w:ascii="Times New Roman" w:cs="Times New Roman" w:eastAsia="Times New Roman" w:hAnsi="Times New Roman"/>
          <w:b/>
          <w:bCs/>
          <w:color w:val="0B2545"/>
          <w:sz w:val="27"/>
          <w:szCs w:val="27"/>
        </w:rPr>
        <w:t xml:space="preserve">6.5 Contribution et transférabilité</w:t>
      </w:r>
    </w:p>
    <w:p>
      <w:pPr>
        <w:spacing w:after="200" w:line="360"/>
        <w:jc w:val="both"/>
      </w:pPr>
      <w:r>
        <w:rPr>
          <w:rFonts w:ascii="Times New Roman" w:cs="Times New Roman" w:eastAsia="Times New Roman" w:hAnsi="Times New Roman"/>
          <w:sz w:val="24"/>
          <w:szCs w:val="24"/>
        </w:rPr>
        <w:t xml:space="preserve">Au-delà de sa contribution opérationnelle immédiate pour l'équipe de l'ISSP et de l'Observatoire de Population de Ouagadougou, ce travail illustre une démarche méthodologique — l'architecture à deux voies, la conception sans schéma figé, les garde-fous de gouvernance intégrés dès le cadrage — potentiellement transférable à d'autres sites du réseau INDEPTH confrontés à des difficultés d'exploitation similaires de leurs bases de données longitudinales. Le code source du système, versionné et documenté, ainsi que la suite de tests automatisés qui l'accompagne, constituent à cet égard une base réutilisable, sous réserve d'adaptation du corpus documentaire et des schémas de tables au contexte de chaque observatoire concerné.</w:t>
      </w:r>
    </w:p>
    <w:p>
      <w:pPr>
        <w:pStyle w:val="Heading1"/>
        <w:pageBreakBefore/>
        <w:spacing w:after="300" w:before="200"/>
      </w:pPr>
      <w:r>
        <w:rPr>
          <w:rFonts w:ascii="Times New Roman" w:cs="Times New Roman" w:eastAsia="Times New Roman" w:hAnsi="Times New Roman"/>
          <w:b/>
          <w:bCs/>
          <w:color w:val="0B2545"/>
          <w:sz w:val="32"/>
          <w:szCs w:val="32"/>
        </w:rPr>
        <w:t xml:space="preserve">Conclusion générale</w:t>
      </w:r>
    </w:p>
    <w:p>
      <w:pPr>
        <w:spacing w:after="200" w:line="360"/>
        <w:jc w:val="both"/>
      </w:pPr>
      <w:r>
        <w:rPr>
          <w:rFonts w:ascii="Times New Roman" w:cs="Times New Roman" w:eastAsia="Times New Roman" w:hAnsi="Times New Roman"/>
          <w:sz w:val="24"/>
          <w:szCs w:val="24"/>
        </w:rPr>
        <w:t xml:space="preserve">Ce mémoire a présenté la conception, le développement et l'évaluation d'un assistant conversationnel intelligent destiné à améliorer l'exploitation quotidienne des données de l'Observatoire de Population de Ouagadougou, en réponse à trois difficultés opérationnelles concrètes identifiées auprès de l'équipe : la lourdeur de l'accès documentaire au dictionnaire de variables, la dépendance à une expertise technique rare pour le calcul d'indicateurs et de contrôles de cohérence, et le caractère manuel du suivi de l'avancement de la collecte de terrain.</w:t>
      </w:r>
    </w:p>
    <w:p>
      <w:pPr>
        <w:spacing w:after="200" w:line="360"/>
        <w:jc w:val="both"/>
      </w:pPr>
      <w:r>
        <w:rPr>
          <w:rFonts w:ascii="Times New Roman" w:cs="Times New Roman" w:eastAsia="Times New Roman" w:hAnsi="Times New Roman"/>
          <w:sz w:val="24"/>
          <w:szCs w:val="24"/>
        </w:rPr>
        <w:t xml:space="preserve">La réponse apportée repose sur une architecture hybride, dont la revue de la littérature a montré qu'elle s'inscrit dans un mouvement plus large de recherche sur la fiabilisation des systèmes fondés sur les grands modèles de langage : une voie de récupération documentaire augmentée par génération (RAG), fondée sur une recherche lexicale sobre justifiée par la nature du corpus, pour les questions de sens ; une voie de calcul déterministe, sans intervention d'un modèle de langage dans le résultat chiffré, pour les questions d'analyse. Cette architecture a été mise en œuvre, testée par une suite de 180 tests automatisés couvrant l'ensemble des modules, et déployée pour un usage réel par l'équipe de l'observatoire, dans le respect de garde-fous de confidentialité et de gouvernance des données conçus dès le cadrage du projet plutôt qu'ajoutés a posteriori.</w:t>
      </w:r>
    </w:p>
    <w:p>
      <w:pPr>
        <w:spacing w:after="200" w:line="360"/>
        <w:jc w:val="both"/>
      </w:pPr>
      <w:r>
        <w:rPr>
          <w:rFonts w:ascii="Times New Roman" w:cs="Times New Roman" w:eastAsia="Times New Roman" w:hAnsi="Times New Roman"/>
          <w:sz w:val="24"/>
          <w:szCs w:val="24"/>
        </w:rPr>
        <w:t xml:space="preserve">Les limites identifiées — recherche lexicale plutôt que sémantique, classification d'intention encore partiellement fondée sur des mots-clés, rôles utilisateurs partiellement appliqués, absence de connexion directe à une base de production — n'invalident pas les résultats obtenus mais en circonscrivent honnêtement la portée, et tracent des perspectives d'évolution concrètes. Plus largement, ce travail suggère qu'un usage responsable de l'intelligence artificielle générative dans un observatoire de population ne consiste pas à confier au modèle de langage la production des résultats chiffrés, mais à le cantonner à ce pour quoi il apporte une valeur ajoutée réelle — l'accès en langage naturel à une documentation complexe, la rédaction et la reformulation — tout en confiant le calcul lui-même à du code déterministe, vérifiable et testable. Cette leçon méthodologique, plus que le système lui-même, constitue sans doute la contribution la plus durable et la plus transférable du présent travail à d'autres contextes de production statistique et démographique.</w:t>
      </w:r>
    </w:p>
    <w:p>
      <w:pPr>
        <w:pStyle w:val="Heading1"/>
        <w:pageBreakBefore/>
        <w:spacing w:after="300" w:before="200"/>
      </w:pPr>
      <w:r>
        <w:rPr>
          <w:rFonts w:ascii="Times New Roman" w:cs="Times New Roman" w:eastAsia="Times New Roman" w:hAnsi="Times New Roman"/>
          <w:b/>
          <w:bCs/>
          <w:color w:val="0B2545"/>
          <w:sz w:val="32"/>
          <w:szCs w:val="32"/>
        </w:rPr>
        <w:t xml:space="preserve">Références bibliographiques</w:t>
      </w:r>
    </w:p>
    <w:p>
      <w:pPr>
        <w:spacing w:after="200" w:line="300"/>
        <w:ind w:left="720" w:hanging="720"/>
        <w:jc w:val="both"/>
      </w:pPr>
      <w:r>
        <w:rPr>
          <w:rFonts w:ascii="Times New Roman" w:cs="Times New Roman" w:eastAsia="Times New Roman" w:hAnsi="Times New Roman"/>
          <w:sz w:val="23"/>
          <w:szCs w:val="23"/>
        </w:rPr>
        <w:t xml:space="preserve">Brown, T., Mann, B., Ryder, N., et al. (2020). « Language Models are Few-Shot Learners ». Advances in Neural Information Processing Systems (NeurIPS), 33, 1877–1901.</w:t>
      </w:r>
    </w:p>
    <w:p>
      <w:pPr>
        <w:spacing w:after="200" w:line="300"/>
        <w:ind w:left="720" w:hanging="720"/>
        <w:jc w:val="both"/>
      </w:pPr>
      <w:r>
        <w:rPr>
          <w:rFonts w:ascii="Times New Roman" w:cs="Times New Roman" w:eastAsia="Times New Roman" w:hAnsi="Times New Roman"/>
          <w:sz w:val="23"/>
          <w:szCs w:val="23"/>
        </w:rPr>
        <w:t xml:space="preserve">Devlin, J., Chang, M.-W., Lee, K., &amp; Toutanova, K. (2019). « BERT: Pre-training of Deep Bidirectional Transformers for Language Understanding ». Proceedings of NAACL-HLT 2019, 4171–4186.</w:t>
      </w:r>
    </w:p>
    <w:p>
      <w:pPr>
        <w:spacing w:after="200" w:line="300"/>
        <w:ind w:left="720" w:hanging="720"/>
        <w:jc w:val="both"/>
      </w:pPr>
      <w:r>
        <w:rPr>
          <w:rFonts w:ascii="Times New Roman" w:cs="Times New Roman" w:eastAsia="Times New Roman" w:hAnsi="Times New Roman"/>
          <w:sz w:val="23"/>
          <w:szCs w:val="23"/>
        </w:rPr>
        <w:t xml:space="preserve">Gao, Y., Xiong, Y., Gao, X., et al. (2024). « Retrieval-Augmented Generation for Natural Language Processing: A Survey ». arXiv:2407.13193.</w:t>
      </w:r>
    </w:p>
    <w:p>
      <w:pPr>
        <w:spacing w:after="200" w:line="300"/>
        <w:ind w:left="720" w:hanging="720"/>
        <w:jc w:val="both"/>
      </w:pPr>
      <w:r>
        <w:rPr>
          <w:rFonts w:ascii="Times New Roman" w:cs="Times New Roman" w:eastAsia="Times New Roman" w:hAnsi="Times New Roman"/>
          <w:sz w:val="23"/>
          <w:szCs w:val="23"/>
        </w:rPr>
        <w:t xml:space="preserve">Huang, L., Yu, W., Ma, W., et al. (2025). « A Survey on Hallucination in Large Language Models: Principles, Taxonomy, Challenges, and Open Questions ». ACM Transactions on Information Systems.</w:t>
      </w:r>
    </w:p>
    <w:p>
      <w:pPr>
        <w:spacing w:after="200" w:line="300"/>
        <w:ind w:left="720" w:hanging="720"/>
        <w:jc w:val="both"/>
      </w:pPr>
      <w:r>
        <w:rPr>
          <w:rFonts w:ascii="Times New Roman" w:cs="Times New Roman" w:eastAsia="Times New Roman" w:hAnsi="Times New Roman"/>
          <w:sz w:val="23"/>
          <w:szCs w:val="23"/>
        </w:rPr>
        <w:t xml:space="preserve">Lewis, P., Perez, E., Piktus, A., et al. (2020). « Retrieval-Augmented Generation for Knowledge-Intensive NLP Tasks ». Advances in Neural Information Processing Systems (NeurIPS), 33.</w:t>
      </w:r>
    </w:p>
    <w:p>
      <w:pPr>
        <w:spacing w:after="200" w:line="300"/>
        <w:ind w:left="720" w:hanging="720"/>
        <w:jc w:val="both"/>
      </w:pPr>
      <w:r>
        <w:rPr>
          <w:rFonts w:ascii="Times New Roman" w:cs="Times New Roman" w:eastAsia="Times New Roman" w:hAnsi="Times New Roman"/>
          <w:sz w:val="23"/>
          <w:szCs w:val="23"/>
        </w:rPr>
        <w:t xml:space="preserve">Manning, C. D., Raghavan, P., &amp; Schütze, H. (2008). Introduction to Information Retrieval. Cambridge University Press.</w:t>
      </w:r>
    </w:p>
    <w:p>
      <w:pPr>
        <w:spacing w:after="200" w:line="300"/>
        <w:ind w:left="720" w:hanging="720"/>
        <w:jc w:val="both"/>
      </w:pPr>
      <w:r>
        <w:rPr>
          <w:rFonts w:ascii="Times New Roman" w:cs="Times New Roman" w:eastAsia="Times New Roman" w:hAnsi="Times New Roman"/>
          <w:sz w:val="23"/>
          <w:szCs w:val="23"/>
        </w:rPr>
        <w:t xml:space="preserve">Rossier, C., Soura, A., Baya, B., et al. (2012). « Profile: The Ouagadougou Health and Demographic Surveillance System ». International Journal of Epidemiology, 41(3), 658–666.</w:t>
      </w:r>
    </w:p>
    <w:p>
      <w:pPr>
        <w:spacing w:after="200" w:line="300"/>
        <w:ind w:left="720" w:hanging="720"/>
        <w:jc w:val="both"/>
      </w:pPr>
      <w:r>
        <w:rPr>
          <w:rFonts w:ascii="Times New Roman" w:cs="Times New Roman" w:eastAsia="Times New Roman" w:hAnsi="Times New Roman"/>
          <w:sz w:val="23"/>
          <w:szCs w:val="23"/>
        </w:rPr>
        <w:t xml:space="preserve">Sankoh, O., &amp; Byass, P. (2012). « The INDEPTH Network: filling vital gaps in global epidemiology ». International Journal of Epidemiology, 41(3), 579–588.</w:t>
      </w:r>
    </w:p>
    <w:p>
      <w:pPr>
        <w:spacing w:after="200" w:line="300"/>
        <w:ind w:left="720" w:hanging="720"/>
        <w:jc w:val="both"/>
      </w:pPr>
      <w:r>
        <w:rPr>
          <w:rFonts w:ascii="Times New Roman" w:cs="Times New Roman" w:eastAsia="Times New Roman" w:hAnsi="Times New Roman"/>
          <w:sz w:val="23"/>
          <w:szCs w:val="23"/>
        </w:rPr>
        <w:t xml:space="preserve">Sewe, M. O., et al. (2015). « Innovative tools and OpenHDS for health and demographic surveillance on Rusinga Island, Kenya ». BMC Research Notes, 8, 654.</w:t>
      </w:r>
    </w:p>
    <w:p>
      <w:pPr>
        <w:spacing w:after="200" w:line="300"/>
        <w:ind w:left="720" w:hanging="720"/>
        <w:jc w:val="both"/>
      </w:pPr>
      <w:r>
        <w:rPr>
          <w:rFonts w:ascii="Times New Roman" w:cs="Times New Roman" w:eastAsia="Times New Roman" w:hAnsi="Times New Roman"/>
          <w:sz w:val="23"/>
          <w:szCs w:val="23"/>
        </w:rPr>
        <w:t xml:space="preserve">Statistique Canada (2026). « Utilisation de l'intelligence artificielle à Statistique Canada ». statcan.gc.ca.</w:t>
      </w:r>
    </w:p>
    <w:p>
      <w:pPr>
        <w:spacing w:after="200" w:line="300"/>
        <w:ind w:left="720" w:hanging="720"/>
        <w:jc w:val="both"/>
      </w:pPr>
      <w:r>
        <w:rPr>
          <w:rFonts w:ascii="Times New Roman" w:cs="Times New Roman" w:eastAsia="Times New Roman" w:hAnsi="Times New Roman"/>
          <w:sz w:val="23"/>
          <w:szCs w:val="23"/>
        </w:rPr>
        <w:t xml:space="preserve">Vaswani, A., Shazeer, N., Parmar, N., et al. (2017). « Attention Is All You Need ». Advances in Neural Information Processing Systems (NeurIPS), 30.</w:t>
      </w:r>
    </w:p>
    <w:p>
      <w:pPr>
        <w:spacing w:after="200" w:line="300"/>
        <w:ind w:left="720" w:hanging="720"/>
        <w:jc w:val="both"/>
      </w:pPr>
      <w:r>
        <w:rPr>
          <w:rFonts w:ascii="Times New Roman" w:cs="Times New Roman" w:eastAsia="Times New Roman" w:hAnsi="Times New Roman"/>
          <w:sz w:val="23"/>
          <w:szCs w:val="23"/>
        </w:rPr>
        <w:t xml:space="preserve">Consortium INSPIRE (2025). « A Quantitative Capability and Needs Assessment Across 12 African Health and Demographic Surveillance Systems ». medRxiv.</w:t>
      </w:r>
    </w:p>
    <w:p>
      <w:pPr>
        <w:pStyle w:val="Heading1"/>
        <w:pageBreakBefore/>
        <w:spacing w:after="300" w:before="200"/>
      </w:pPr>
      <w:r>
        <w:rPr>
          <w:rFonts w:ascii="Times New Roman" w:cs="Times New Roman" w:eastAsia="Times New Roman" w:hAnsi="Times New Roman"/>
          <w:b/>
          <w:bCs/>
          <w:color w:val="0B2545"/>
          <w:sz w:val="32"/>
          <w:szCs w:val="32"/>
        </w:rPr>
        <w:t xml:space="preserve">Annexes</w:t>
      </w:r>
    </w:p>
    <w:p>
      <w:pPr>
        <w:pStyle w:val="Heading2"/>
        <w:spacing w:after="200" w:before="300"/>
      </w:pPr>
      <w:r>
        <w:rPr>
          <w:rFonts w:ascii="Times New Roman" w:cs="Times New Roman" w:eastAsia="Times New Roman" w:hAnsi="Times New Roman"/>
          <w:b/>
          <w:bCs/>
          <w:color w:val="0B2545"/>
          <w:sz w:val="27"/>
          <w:szCs w:val="27"/>
        </w:rPr>
        <w:t xml:space="preserve">Annexe 1 — Extrait du catalogue des contrôles de cohérence avancés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00"/>
      </w:tblGrid>
      <w:tr>
        <w:trPr>
          <w:tblHeader/>
        </w:trPr>
        <w:tc>
          <w:tcPr>
            <w:tcW w:type="dxa" w:w="30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Contrôle</w:t>
            </w:r>
          </w:p>
        </w:tc>
        <w:tc>
          <w:tcPr>
            <w:tcW w:type="dxa" w:w="33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Colonnes nécessaires (auto-détectées)</w:t>
            </w:r>
          </w:p>
        </w:tc>
        <w:tc>
          <w:tcPr>
            <w:tcW w:type="dxa" w:w="27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Portée</w:t>
            </w:r>
          </w:p>
        </w:tc>
      </w:tr>
      <w:tr>
        <w:tc>
          <w:tcPr>
            <w:tcW w:type="dxa" w:w="3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Identifiant de longueur inhabituelle</w:t>
            </w:r>
          </w:p>
        </w:tc>
        <w:tc>
          <w:tcPr>
            <w:tcW w:type="dxa" w:w="33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Colonne d'identifiant</w:t>
            </w:r>
          </w:p>
        </w:tc>
        <w:tc>
          <w:tcPr>
            <w:tcW w:type="dxa" w:w="2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 table</w:t>
            </w:r>
          </w:p>
        </w:tc>
      </w:tr>
      <w:tr>
        <w:tc>
          <w:tcPr>
            <w:tcW w:type="dxa" w:w="3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Auto-référence</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identifiant, identifiant2</w:t>
            </w:r>
          </w:p>
        </w:tc>
        <w:tc>
          <w:tcPr>
            <w:tcW w:type="dxa" w:w="2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 table</w:t>
            </w:r>
          </w:p>
        </w:tc>
      </w:tr>
      <w:tr>
        <w:tc>
          <w:tcPr>
            <w:tcW w:type="dxa" w:w="3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Parents identiques</w:t>
            </w:r>
          </w:p>
        </w:tc>
        <w:tc>
          <w:tcPr>
            <w:tcW w:type="dxa" w:w="33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fatherid, motherid</w:t>
            </w:r>
          </w:p>
        </w:tc>
        <w:tc>
          <w:tcPr>
            <w:tcW w:type="dxa" w:w="2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 table</w:t>
            </w:r>
          </w:p>
        </w:tc>
      </w:tr>
      <w:tr>
        <w:tc>
          <w:tcPr>
            <w:tcW w:type="dxa" w:w="3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Jeune enfant sans mère renseignée</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age, motherid</w:t>
            </w:r>
          </w:p>
        </w:tc>
        <w:tc>
          <w:tcPr>
            <w:tcW w:type="dxa" w:w="2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 table</w:t>
            </w:r>
          </w:p>
        </w:tc>
      </w:tr>
      <w:tr>
        <w:tc>
          <w:tcPr>
            <w:tcW w:type="dxa" w:w="3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Valeur sentinelle de non-réponse</w:t>
            </w:r>
          </w:p>
        </w:tc>
        <w:tc>
          <w:tcPr>
            <w:tcW w:type="dxa" w:w="33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poids, taille</w:t>
            </w:r>
          </w:p>
        </w:tc>
        <w:tc>
          <w:tcPr>
            <w:tcW w:type="dxa" w:w="2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 table</w:t>
            </w:r>
          </w:p>
        </w:tc>
      </w:tr>
      <w:tr>
        <w:tc>
          <w:tcPr>
            <w:tcW w:type="dxa" w:w="3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Coordonnées GPS hors territoire</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latitude, longitude</w:t>
            </w:r>
          </w:p>
        </w:tc>
        <w:tc>
          <w:tcPr>
            <w:tcW w:type="dxa" w:w="2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 table</w:t>
            </w:r>
          </w:p>
        </w:tc>
      </w:tr>
      <w:tr>
        <w:tc>
          <w:tcPr>
            <w:tcW w:type="dxa" w:w="3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Format de téléphone invalide</w:t>
            </w:r>
          </w:p>
        </w:tc>
        <w:tc>
          <w:tcPr>
            <w:tcW w:type="dxa" w:w="33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téléphone</w:t>
            </w:r>
          </w:p>
        </w:tc>
        <w:tc>
          <w:tcPr>
            <w:tcW w:type="dxa" w:w="2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Par table</w:t>
            </w:r>
          </w:p>
        </w:tc>
      </w:tr>
      <w:tr>
        <w:tc>
          <w:tcPr>
            <w:tcW w:type="dxa" w:w="3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Éligibilité présence ↔ fiche thématique</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présence + fiche liée</w:t>
            </w:r>
          </w:p>
        </w:tc>
        <w:tc>
          <w:tcPr>
            <w:tcW w:type="dxa" w:w="2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Croisé entre tables</w:t>
            </w:r>
          </w:p>
        </w:tc>
      </w:tr>
      <w:tr>
        <w:tc>
          <w:tcPr>
            <w:tcW w:type="dxa" w:w="3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Décédé mais présent</w:t>
            </w:r>
          </w:p>
        </w:tc>
        <w:tc>
          <w:tcPr>
            <w:tcW w:type="dxa" w:w="33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décès + présence</w:t>
            </w:r>
          </w:p>
        </w:tc>
        <w:tc>
          <w:tcPr>
            <w:tcW w:type="dxa" w:w="27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Croisé entre tables</w:t>
            </w:r>
          </w:p>
        </w:tc>
      </w:tr>
      <w:tr>
        <w:tc>
          <w:tcPr>
            <w:tcW w:type="dxa" w:w="3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Grossesse sans issue enregistrée</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grossesse + issue de grossesse</w:t>
            </w:r>
          </w:p>
        </w:tc>
        <w:tc>
          <w:tcPr>
            <w:tcW w:type="dxa" w:w="27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Croisé entre tables</w:t>
            </w:r>
          </w:p>
        </w:tc>
      </w:tr>
    </w:tbl>
    <w:p>
      <w:pPr>
        <w:pStyle w:val="Heading2"/>
        <w:spacing w:after="200" w:before="300"/>
      </w:pPr>
      <w:r>
        <w:rPr>
          <w:rFonts w:ascii="Times New Roman" w:cs="Times New Roman" w:eastAsia="Times New Roman" w:hAnsi="Times New Roman"/>
          <w:b/>
          <w:bCs/>
          <w:color w:val="0B2545"/>
          <w:sz w:val="27"/>
          <w:szCs w:val="27"/>
        </w:rPr>
        <w:t xml:space="preserve">Annexe 2 — Répartition indicative des tests automatisés par fichier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Fichier de test</w:t>
            </w:r>
          </w:p>
        </w:tc>
        <w:tc>
          <w:tcPr>
            <w:tcW w:type="dxa" w:w="4000"/>
            <w:shd w:fill="0B2545"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1"/>
                <w:szCs w:val="21"/>
              </w:rPr>
              <w:t xml:space="preserve">Lignes de code de test</w:t>
            </w:r>
          </w:p>
        </w:tc>
      </w:tr>
      <w:tr>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tests/test_app.py</w:t>
            </w:r>
          </w:p>
        </w:tc>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482</w:t>
            </w:r>
          </w:p>
        </w:tc>
      </w:tr>
      <w:tr>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tests/test_data_tools.py</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874</w:t>
            </w:r>
          </w:p>
        </w:tc>
      </w:tr>
      <w:tr>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tests/test_auth.py</w:t>
            </w:r>
          </w:p>
        </w:tc>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126</w:t>
            </w:r>
          </w:p>
        </w:tc>
      </w:tr>
      <w:tr>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tests/test_rag.py</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230</w:t>
            </w:r>
          </w:p>
        </w:tc>
      </w:tr>
      <w:tr>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tests/test_prepare_corpus.py</w:t>
            </w:r>
          </w:p>
        </w:tc>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154</w:t>
            </w:r>
          </w:p>
        </w:tc>
      </w:tr>
      <w:tr>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tests/test_ingest.py</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58</w:t>
            </w:r>
          </w:p>
        </w:tc>
      </w:tr>
      <w:tr>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tests/test_env_config.py</w:t>
            </w:r>
          </w:p>
        </w:tc>
        <w:tc>
          <w:tcPr>
            <w:tcW w:type="dxa" w:w="4000"/>
            <w:shd w:fill="F4EDE4" w:val="clear"/>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1"/>
                <w:szCs w:val="21"/>
              </w:rPr>
              <w:t xml:space="preserve">55</w:t>
            </w:r>
          </w:p>
        </w:tc>
      </w:tr>
    </w:tbl>
    <w:p>
      <w:pPr>
        <w:pStyle w:val="Heading2"/>
        <w:spacing w:after="200" w:before="300"/>
      </w:pPr>
      <w:r>
        <w:rPr>
          <w:rFonts w:ascii="Times New Roman" w:cs="Times New Roman" w:eastAsia="Times New Roman" w:hAnsi="Times New Roman"/>
          <w:b/>
          <w:bCs/>
          <w:color w:val="0B2545"/>
          <w:sz w:val="27"/>
          <w:szCs w:val="27"/>
        </w:rPr>
        <w:t xml:space="preserve">Annexe 3 — Glossaire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Chunk : fragment autonome de texte, unité de base indexée et récupérée par le module de recherche documentaire.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Embedding : représentation vectorielle dense d'un texte, apprise par un réseau de neurones, utilisée pour la recherche sémantique.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Hallucination (IA) : production par un modèle de langage d'un contenu plausible mais factuellement erroné ou non fondé sur une source.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Jointure (merge) : opération combinant deux tables sur la base d'une colonne commune (clé).</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Prompt : instruction textuelle transmise à un modèle de langage pour orienter sa réponse.</w:t>
      </w:r>
    </w:p>
    <w:p>
      <w:pPr>
        <w:pStyle w:val="ListParagraph"/>
        <w:numPr>
          <w:ilvl w:val="0"/>
          <w:numId w:val="1"/>
        </w:numPr>
        <w:spacing w:after="120" w:line="340"/>
        <w:jc w:val="both"/>
      </w:pPr>
      <w:r>
        <w:rPr>
          <w:rFonts w:ascii="Times New Roman" w:cs="Times New Roman" w:eastAsia="Times New Roman" w:hAnsi="Times New Roman"/>
          <w:sz w:val="24"/>
          <w:szCs w:val="24"/>
        </w:rPr>
        <w:t xml:space="preserve">TF-IDF : méthode de pondération lexicale mesurant l'importance relative d'un terme dans un document au sein d'un corpus.</w:t>
      </w:r>
    </w:p>
    <w:p>
      <w:pPr>
        <w:pStyle w:val="Heading2"/>
        <w:spacing w:after="200" w:before="300"/>
      </w:pPr>
      <w:r>
        <w:rPr>
          <w:rFonts w:ascii="Times New Roman" w:cs="Times New Roman" w:eastAsia="Times New Roman" w:hAnsi="Times New Roman"/>
          <w:b/>
          <w:bCs/>
          <w:color w:val="0B2545"/>
          <w:sz w:val="27"/>
          <w:szCs w:val="27"/>
        </w:rPr>
        <w:t xml:space="preserve">Annexe 4 — Table des matières technique du dépôt de code</w:t>
      </w:r>
    </w:p>
    <w:p>
      <w:pPr>
        <w:spacing w:after="200" w:line="360"/>
        <w:jc w:val="both"/>
      </w:pPr>
      <w:r>
        <w:rPr>
          <w:rFonts w:ascii="Times New Roman" w:cs="Times New Roman" w:eastAsia="Times New Roman" w:hAnsi="Times New Roman"/>
          <w:sz w:val="24"/>
          <w:szCs w:val="24"/>
        </w:rPr>
        <w:t xml:space="preserve">Le code source complet de l'Assistant OPO, incluant l'ensemble des modules décrits au chapitre 4 et la suite de tests automatisés présentée au chapitre 5, est organisé selon la structure suivante : app.py (interface), data_tools.py (analyse), rag.py (recherche documentaire), auth.py (authentification), ingest.py et prepare_corpus.py (indexation), le répertoire tests/ (suite de tests pytest), le répertoire data/ (dictionnaire de données et documents indexés), ainsi que les fichiers de configuration (requirements.txt, auth_config.yaml.exemple, .env.exemple) et de documentation (README.md).</w:t>
      </w:r>
    </w:p>
    <w:p>
      <w:pPr>
        <w:pStyle w:val="Heading2"/>
        <w:spacing w:after="200" w:before="300"/>
      </w:pPr>
      <w:r>
        <w:rPr>
          <w:rFonts w:ascii="Times New Roman" w:cs="Times New Roman" w:eastAsia="Times New Roman" w:hAnsi="Times New Roman"/>
          <w:b/>
          <w:bCs/>
          <w:color w:val="0B2545"/>
          <w:sz w:val="27"/>
          <w:szCs w:val="27"/>
        </w:rPr>
        <w:t xml:space="preserve">Annexe 5 — Exemple illustratif d'échange avec l'assistant</w:t>
      </w:r>
    </w:p>
    <w:p>
      <w:pPr>
        <w:spacing w:after="200" w:line="360"/>
        <w:jc w:val="both"/>
      </w:pPr>
      <w:r>
        <w:rPr>
          <w:rFonts w:ascii="Times New Roman" w:cs="Times New Roman" w:eastAsia="Times New Roman" w:hAnsi="Times New Roman"/>
          <w:sz w:val="24"/>
          <w:szCs w:val="24"/>
        </w:rPr>
        <w:t xml:space="preserve">L'échange reconstitué ci-dessous illustre, à titre pédagogique, l'enchaînement des deux chemins de traitement décrits au chapitre 4 au fil d'une même session, avec deux tables fictives déposées (FNewIndividual et FNewEducation).</w:t>
      </w:r>
    </w:p>
    <w:p>
      <w:pPr>
        <w:spacing w:after="200" w:line="360"/>
        <w:jc w:val="both"/>
      </w:pPr>
      <w:r>
        <w:rPr>
          <w:rFonts w:ascii="Times New Roman" w:cs="Times New Roman" w:eastAsia="Times New Roman" w:hAnsi="Times New Roman"/>
          <w:i/>
          <w:iCs/>
          <w:sz w:val="24"/>
          <w:szCs w:val="24"/>
        </w:rPr>
        <w:t xml:space="preserve">Utilisateur : « que signifie fatherid dans Tindividual ? »</w:t>
      </w:r>
    </w:p>
    <w:p>
      <w:pPr>
        <w:spacing w:after="200" w:line="360"/>
        <w:jc w:val="both"/>
      </w:pPr>
      <w:r>
        <w:rPr>
          <w:rFonts w:ascii="Times New Roman" w:cs="Times New Roman" w:eastAsia="Times New Roman" w:hAnsi="Times New Roman"/>
          <w:i/>
          <w:iCs/>
          <w:sz w:val="24"/>
          <w:szCs w:val="24"/>
        </w:rPr>
        <w:t xml:space="preserve">Assistant : « Dans la table Tindividual, fatherid est l'identifiant du père de l'individu, tel que déclaré lors de l'enquête. Il permet de relier un individu à son père lorsque celui-ci est également enregistré dans l'observatoire. Source : dictionnaire de données, table Tindividual. »</w:t>
      </w:r>
    </w:p>
    <w:p>
      <w:pPr>
        <w:spacing w:after="200" w:line="360"/>
        <w:jc w:val="both"/>
      </w:pPr>
      <w:r>
        <w:rPr>
          <w:rFonts w:ascii="Times New Roman" w:cs="Times New Roman" w:eastAsia="Times New Roman" w:hAnsi="Times New Roman"/>
          <w:i/>
          <w:iCs/>
          <w:sz w:val="24"/>
          <w:szCs w:val="24"/>
        </w:rPr>
        <w:t xml:space="preserve">Utilisateur : « répartition de sex dans FNewIndividual »</w:t>
      </w:r>
    </w:p>
    <w:p>
      <w:pPr>
        <w:spacing w:after="200" w:line="360"/>
        <w:jc w:val="both"/>
      </w:pPr>
      <w:r>
        <w:rPr>
          <w:rFonts w:ascii="Times New Roman" w:cs="Times New Roman" w:eastAsia="Times New Roman" w:hAnsi="Times New Roman"/>
          <w:i/>
          <w:iCs/>
          <w:sz w:val="24"/>
          <w:szCs w:val="24"/>
        </w:rPr>
        <w:t xml:space="preserve">Assistant : « Répartition de la variable sex (FNewIndividual, n = 2 480) : Masculin 1 214 (49,0 %), Féminin 1 266 (51,0 %). Code R : table(FNewIndividual$sex). Code Stata : tab sex. »</w:t>
      </w:r>
    </w:p>
    <w:p>
      <w:pPr>
        <w:spacing w:after="200" w:line="360"/>
        <w:jc w:val="both"/>
      </w:pPr>
      <w:r>
        <w:rPr>
          <w:rFonts w:ascii="Times New Roman" w:cs="Times New Roman" w:eastAsia="Times New Roman" w:hAnsi="Times New Roman"/>
          <w:i/>
          <w:iCs/>
          <w:sz w:val="24"/>
          <w:szCs w:val="24"/>
        </w:rPr>
        <w:t xml:space="preserve">Utilisateur : « et les doublons ? »</w:t>
      </w:r>
    </w:p>
    <w:p>
      <w:pPr>
        <w:spacing w:after="200" w:line="360"/>
        <w:jc w:val="both"/>
      </w:pPr>
      <w:r>
        <w:rPr>
          <w:rFonts w:ascii="Times New Roman" w:cs="Times New Roman" w:eastAsia="Times New Roman" w:hAnsi="Times New Roman"/>
          <w:i/>
          <w:iCs/>
          <w:sz w:val="24"/>
          <w:szCs w:val="24"/>
        </w:rPr>
        <w:t xml:space="preserve">Assistant : « Sur la table FNewIndividual (mémoire de conversation : dernière table mentionnée), 3 doublons d'identifiant individid détectés sur 2 480 lignes, et aucune date invraisemblable sur la colonne dob. Colonnes vérifiées : individid, dob. »</w:t>
      </w:r>
    </w:p>
    <w:p>
      <w:pPr>
        <w:spacing w:after="200" w:line="360"/>
        <w:jc w:val="both"/>
      </w:pPr>
      <w:r>
        <w:rPr>
          <w:rFonts w:ascii="Times New Roman" w:cs="Times New Roman" w:eastAsia="Times New Roman" w:hAnsi="Times New Roman"/>
          <w:i/>
          <w:iCs/>
          <w:sz w:val="24"/>
          <w:szCs w:val="24"/>
        </w:rPr>
        <w:t xml:space="preserve">Utilisateur : « bilan de terrain, objectif 20000 »</w:t>
      </w:r>
    </w:p>
    <w:p>
      <w:pPr>
        <w:spacing w:after="200" w:line="360"/>
        <w:jc w:val="both"/>
      </w:pPr>
      <w:r>
        <w:rPr>
          <w:rFonts w:ascii="Times New Roman" w:cs="Times New Roman" w:eastAsia="Times New Roman" w:hAnsi="Times New Roman"/>
          <w:i/>
          <w:iCs/>
          <w:sz w:val="24"/>
          <w:szCs w:val="24"/>
        </w:rPr>
        <w:t xml:space="preserve">Assistant : « Aucune table nommée et aucun mot-clé ne cible une table unique : calcul mené sur toutes les tables chargées comportant une colonne d'agent (FNewIndividual, FNewEducation). Total ménages/UCH visités : 8 412. Objectif : 20 000. Reste à faire : 11 588. Rythme moyen observé : 187 ménages/jour. Date de fin projetée au rythme actuel : voir courbe de progression ci-dessous. Un rapport Word détaillé par agent est disponible au téléchargement. »</w:t>
      </w:r>
    </w:p>
    <w:p>
      <w:pPr>
        <w:spacing w:after="200" w:line="360"/>
        <w:jc w:val="both"/>
      </w:pPr>
      <w:r>
        <w:rPr>
          <w:rFonts w:ascii="Times New Roman" w:cs="Times New Roman" w:eastAsia="Times New Roman" w:hAnsi="Times New Roman"/>
          <w:sz w:val="24"/>
          <w:szCs w:val="24"/>
        </w:rPr>
        <w:t xml:space="preserve">Cet échange illustre trois principes défendus dans ce mémoire : la citation systématique des sources pour les réponses documentaires (chemin 1), l'absence de toute réponse chiffrée non calculée directement sur les données déposées (chemin 2), et le traitement explicite de l'ambiguïté — élargissement transparent à toutes les tables concernées plutôt qu'un choix silencieux d'une table par défaut — décrit à la section 4.3.5.</w:t>
      </w:r>
    </w:p>
    <w:sectPr>
      <w:headerReference w:type="default" r:id="rId7"/>
      <w:footerReference w:type="default" r:id="rId8"/>
      <w:pgSz w:w="11906" w:h="16838" w:orient="portrait"/>
      <w:pgMar w:top="1440" w:right="144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Assistant OPO — Mémoire de Master — ISSP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d'un assistant conversationnel IA (RAG) pour l'Observatoire de Population de Ouagadougou</dc:title>
  <dc:creator>Mohamed Lamine Sawadogo</dc:creator>
  <dc:description>Mémoire de Master — ISSP</dc:description>
  <cp:lastModifiedBy>Un-named</cp:lastModifiedBy>
  <cp:revision>1</cp:revision>
  <dcterms:created xsi:type="dcterms:W3CDTF">2026-08-04T09:27:18.936Z</dcterms:created>
  <dcterms:modified xsi:type="dcterms:W3CDTF">2026-08-04T09:27:18.936Z</dcterms:modified>
</cp:coreProperties>
</file>

<file path=docProps/custom.xml><?xml version="1.0" encoding="utf-8"?>
<Properties xmlns="http://schemas.openxmlformats.org/officeDocument/2006/custom-properties" xmlns:vt="http://schemas.openxmlformats.org/officeDocument/2006/docPropsVTypes"/>
</file>