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CommerceFlow Architecture Decisions</w:t>
      </w:r>
    </w:p>
    <w:p>
      <w:r>
        <w:t>Version 1.0  |  29 October 2026  |  Status: Design draft</w:t>
      </w:r>
    </w:p>
    <w:p>
      <w:pPr>
        <w:pStyle w:val="Heading1"/>
      </w:pPr>
      <w:r>
        <w:t>ADR-001 Modular Monolith</w:t>
      </w:r>
    </w:p>
    <w:p>
      <w:r>
        <w:t>Decision: Java Spring Boot modular monolith. Rationale: clear domain boundaries and simpler deployment and transactions than microservices. Consequence: enforce module boundaries.</w:t>
      </w:r>
    </w:p>
    <w:p>
      <w:pPr>
        <w:pStyle w:val="Heading1"/>
      </w:pPr>
      <w:r>
        <w:t>ADR-002 PostgreSQL and Flyway</w:t>
      </w:r>
    </w:p>
    <w:p>
      <w:r>
        <w:t>Decision: PostgreSQL 17 and Flyway migrations. Rationale: referential integrity and reproducibility. Consequence: migration validation with Testcontainers.</w:t>
      </w:r>
    </w:p>
    <w:p>
      <w:pPr>
        <w:pStyle w:val="Heading1"/>
      </w:pPr>
      <w:r>
        <w:t>ADR-003 Session Authentication</w:t>
      </w:r>
    </w:p>
    <w:p>
      <w:r>
        <w:t>Decision: Spring Security and Spring Session JDBC, HttpOnly session cookie and CSRF. Consequence: configure CSRF bootstrap, cookie flags, expiration, logout and proxy topology.</w:t>
      </w:r>
    </w:p>
    <w:p>
      <w:pPr>
        <w:pStyle w:val="Heading1"/>
      </w:pPr>
      <w:r>
        <w:t>ADR-004 Product Inventory</w:t>
      </w:r>
    </w:p>
    <w:p>
      <w:r>
        <w:t>Decision: stock quantity on products for MVP. Consequence: variants and warehouses out of scope.</w:t>
      </w:r>
    </w:p>
    <w:p>
      <w:pPr>
        <w:pStyle w:val="Heading1"/>
      </w:pPr>
      <w:r>
        <w:t>ADR-005 Atomic Checkout</w:t>
      </w:r>
    </w:p>
    <w:p>
      <w:r>
        <w:t>Decision: conditional stock decrement and order persistence in one transaction. Consequence: verify affected rows and rollback all writes on failure.</w:t>
      </w:r>
    </w:p>
    <w:p>
      <w:pPr>
        <w:pStyle w:val="Heading1"/>
      </w:pPr>
      <w:r>
        <w:t>ADR-006 Idempotency</w:t>
      </w:r>
    </w:p>
    <w:p>
      <w:r>
        <w:t>Decision: persistent idempotency keys scoped by customer, request fingerprint and status. Consequence: define concurrency, TTL and recovery. Infrastructure table is separate from 10 business tables.</w:t>
      </w:r>
    </w:p>
    <w:p>
      <w:pPr>
        <w:pStyle w:val="Heading1"/>
      </w:pPr>
      <w:r>
        <w:t>ADR-007 Mock Payment</w:t>
      </w:r>
    </w:p>
    <w:p>
      <w:r>
        <w:t>Decision: simulated payment outcome; no real charges or card collection. Failed mock payment makes no order or stock changes.</w:t>
      </w:r>
    </w:p>
    <w:p>
      <w:pPr>
        <w:pStyle w:val="Heading1"/>
      </w:pPr>
      <w:r>
        <w:t>ADR-008 Automated Tests</w:t>
      </w:r>
    </w:p>
    <w:p>
      <w:r>
        <w:t>Decision: risk-appropriate automated tests with required CI gates on feature PRs.</w:t>
      </w:r>
    </w:p>
    <w:p>
      <w:pPr>
        <w:pStyle w:val="Heading1"/>
      </w:pPr>
      <w:r>
        <w:t>ADR-009 Branching</w:t>
      </w:r>
    </w:p>
    <w:p>
      <w:r>
        <w:t>Decision: feature branches into develop, protected master reserved for validated releases.</w:t>
      </w:r>
    </w:p>
    <w:p>
      <w:r>
        <w:t>Design artifacts are proposed specifications. No production implementation is asserted.</w:t>
      </w:r>
    </w:p>
    <w:p>
      <w:r>
        <w:br w:type="page"/>
      </w:r>
    </w:p>
    <w:p>
      <w:pPr>
        <w:pStyle w:val="Heading1"/>
      </w:pPr>
      <w:r>
        <w:t>Approved Checkout Policy — ADR-006 Supplement</w:t>
      </w:r>
    </w:p>
    <w:p>
      <w:pPr>
        <w:pStyle w:val="Heading2"/>
      </w:pPr>
      <w:r>
        <w:t>Retention</w:t>
      </w:r>
    </w:p>
    <w:p>
      <w:r>
        <w:t>Completed checkout idempotency records must be retained for at least 24 hours after completion. After expiration, deduplication of old requests is not guaranteed.</w:t>
      </w:r>
    </w:p>
    <w:p>
      <w:pPr>
        <w:pStyle w:val="Heading2"/>
      </w:pPr>
      <w:r>
        <w:t>Replay</w:t>
      </w:r>
    </w:p>
    <w:p>
      <w:r>
        <w:t>A retry by the same authenticated customer with the same key and equivalent canonical request payload returns the stored result and must not create a second order.</w:t>
      </w:r>
    </w:p>
    <w:p>
      <w:pPr>
        <w:pStyle w:val="Heading2"/>
      </w:pPr>
      <w:r>
        <w:t>Payload mismatch</w:t>
      </w:r>
    </w:p>
    <w:p>
      <w:r>
        <w:t>Reusing a key with a different canonical request payload returns HTTP 409 Conflict without changing order or inventory state.</w:t>
      </w:r>
    </w:p>
    <w:p>
      <w:pPr>
        <w:pStyle w:val="Heading2"/>
      </w:pPr>
      <w:r>
        <w:t>Concurrent request</w:t>
      </w:r>
    </w:p>
    <w:p>
      <w:r>
        <w:t>Only one in-flight request per customer and idempotency key may execute checkout. Concurrent duplicates receive HTTP 409 Conflict with a retryable error response; the client should retry after the first request completes.</w:t>
      </w:r>
    </w:p>
    <w:p>
      <w:pPr>
        <w:pStyle w:val="Heading2"/>
      </w:pPr>
      <w:r>
        <w:t>Cancellation</w:t>
      </w:r>
    </w:p>
    <w:p>
      <w:r>
        <w:t>Only CONFIRMED orders may transition to CANCELLED. The cancellation and stock restoration execute atomically and stock must be restored exactly once.</w:t>
      </w:r>
    </w:p>
    <w:p>
      <w:pPr>
        <w:pStyle w:val="Heading2"/>
      </w:pPr>
      <w:r>
        <w:t>Failure recovery</w:t>
      </w:r>
    </w:p>
    <w:p>
      <w:r>
        <w:t>Idempotency state changes and order creation must be coordinated transactionally. Incomplete operations must have a defined recovery path and cannot be replayed as completed orders.</w:t>
      </w:r>
    </w:p>
    <w:p>
      <w:pPr>
        <w:pStyle w:val="Heading2"/>
      </w:pPr>
      <w:r>
        <w:t>Mock payment</w:t>
      </w:r>
    </w:p>
    <w:p>
      <w:r>
        <w:t>The mock payment service does not process real funds or collect card details. A failed mock payment creates no order and changes no inventory.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COMMERCEFLOW  /  SPRINT 1A  /  DESIGN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