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CommerceFlow Physical ERD Specification</w:t>
      </w:r>
    </w:p>
    <w:p>
      <w:r>
        <w:t>Version 1.0  |  29 October 2026  |  Status: Design draft</w:t>
      </w:r>
    </w:p>
    <w:p>
      <w:pPr>
        <w:pStyle w:val="Heading1"/>
      </w:pPr>
      <w:r>
        <w:t>Business Tables</w:t>
      </w:r>
    </w:p>
    <w:p>
      <w:r>
        <w:t>users(id UUID PK, email unique case-insensitive, password_hash, full_name, account_status, timestamps); roles(id SMALLINT PK, name UNIQUE); user_roles(user_id, role_id composite PK); categories(id UUID PK, name, slug UNIQUE); products(id UUID PK, category_id FK, name, slug UNIQUE, description, price NUMERIC(12,2), stock_quantity INTEGER, active BOOLEAN, version BIGINT, timestamps); carts(id UUID PK, user_id UNIQUE FK); cart_items(id UUID PK, cart_id FK, product_id FK, quantity INTEGER, UNIQUE(cart_id,product_id)); orders(id UUID PK, user_id FK, order_status, payment_status, total_amount NUMERIC(12,2), created_at); order_items(id UUID PK, order_id FK, product_id FK, product_name, unit_price NUMERIC(12,2), quantity, line_total NUMERIC(12,2)); order_addresses(id UUID PK, order_id UNIQUE FK, recipient_name, address_line1, city, state, postal_code, country_code).</w:t>
      </w:r>
    </w:p>
    <w:p>
      <w:pPr>
        <w:pStyle w:val="Heading1"/>
      </w:pPr>
      <w:r>
        <w:t>Integrity Rules</w:t>
      </w:r>
    </w:p>
    <w:p>
      <w:r>
        <w:t>Price and stock must be nonnegative; cart/order quantities must be positive; order item names and prices are immutable snapshots; order addresses are snapshots; products referenced by orders cannot be hard-deleted; user email unique via normalized index; cart item pair unique.</w:t>
      </w:r>
    </w:p>
    <w:p>
      <w:pPr>
        <w:pStyle w:val="Heading1"/>
      </w:pPr>
      <w:r>
        <w:t>Indexes</w:t>
      </w:r>
    </w:p>
    <w:p>
      <w:r>
        <w:t>Index foreign keys for products.category_id, orders.user_id, cart_items.cart_id, order_items.order_id; use product active/category/search indexes based on measured query patterns.</w:t>
      </w:r>
    </w:p>
    <w:p>
      <w:pPr>
        <w:pStyle w:val="Heading1"/>
      </w:pPr>
      <w:r>
        <w:t>Infrastructure Tables</w:t>
      </w:r>
    </w:p>
    <w:p>
      <w:r>
        <w:t>Spring Session JDBC persistence and checkout idempotency require separate infrastructure tables, not counted among ten business tables. Define their migrations and lifecycle before implementation.</w:t>
      </w:r>
    </w:p>
    <w:p>
      <w:pPr>
        <w:pStyle w:val="Heading1"/>
      </w:pPr>
      <w:r>
        <w:t>Open Design Questions</w:t>
      </w:r>
    </w:p>
    <w:p>
      <w:r>
        <w:t>Final order cancellation/stock restoration, checkout key retention, payment simulation failure semantics, CSRF transport, physical DDL details and deployment cookie policy require final implementation-level review.</w:t>
      </w:r>
    </w:p>
    <w:p>
      <w:r>
        <w:t>Design artifacts are proposed specifications. No production implementation is asserted.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COMMERCEFLOW  /  SPRINT 1A  /  DESIGN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