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CommerceFlow Test Strategy</w:t>
      </w:r>
    </w:p>
    <w:p>
      <w:r>
        <w:t>Version 1.0  |  29 October 2026  |  Status: Design draft</w:t>
      </w:r>
    </w:p>
    <w:p>
      <w:pPr>
        <w:pStyle w:val="Heading1"/>
      </w:pPr>
      <w:r>
        <w:t>1. Purpose</w:t>
      </w:r>
    </w:p>
    <w:p>
      <w:r>
        <w:t>Verify requirements, secure user data, prevent overselling and demonstrate repeatable engineering evidence. No feature is considered done without risk-appropriate tests.</w:t>
      </w:r>
    </w:p>
    <w:p>
      <w:pPr>
        <w:pStyle w:val="Heading1"/>
      </w:pPr>
      <w:r>
        <w:t>2. Test Levels</w:t>
      </w:r>
    </w:p>
    <w:p>
      <w:r>
        <w:t>Unit: JUnit 5/Mockito and frontend component tests. Integration: Spring Boot Test with PostgreSQL Testcontainers and Flyway. E2E: Playwright critical journeys. Security: session, CSRF, RBAC, ownership. Performance: reproducible k6 workload.</w:t>
      </w:r>
    </w:p>
    <w:p>
      <w:pPr>
        <w:pStyle w:val="Heading1"/>
      </w:pPr>
      <w:r>
        <w:t>3. Priority Scenarios</w:t>
      </w:r>
    </w:p>
    <w:p>
      <w:r>
        <w:t>Registration duplicates and invalid inputs; wrong password; logout session invalidation; customer forbidden from admin; cross-customer order hidden; missing CSRF rejected; inventory concurrency; rollback; mock payment failure; idempotent retry.</w:t>
      </w:r>
    </w:p>
    <w:p>
      <w:pPr>
        <w:pStyle w:val="Heading1"/>
      </w:pPr>
      <w:r>
        <w:t>4. Test Environments</w:t>
      </w:r>
    </w:p>
    <w:p>
      <w:r>
        <w:t>Local Docker development; CI GitHub Actions with Docker-enabled integration tests; staging if provisioned; production only safe smoke tests. Never use real customer data or secrets in fixtures.</w:t>
      </w:r>
    </w:p>
    <w:p>
      <w:pPr>
        <w:pStyle w:val="Heading1"/>
      </w:pPr>
      <w:r>
        <w:t>5. Definition of Done</w:t>
      </w:r>
    </w:p>
    <w:p>
      <w:r>
        <w:t>Acceptance criteria satisfied; automated tests added and reviewed; CI passes; security behavior verified; documentation and requirement-to-test traceability updated; human review completed.</w:t>
      </w:r>
    </w:p>
    <w:p>
      <w:pPr>
        <w:pStyle w:val="Heading1"/>
      </w:pPr>
      <w:r>
        <w:t>6. Evidence and Defects</w:t>
      </w:r>
    </w:p>
    <w:p>
      <w:r>
        <w:t>Capture test file path, run URL, result, execution date and defects. Coverage is supporting evidence, not a substitute for meaningful assertions.</w:t>
      </w:r>
    </w:p>
    <w:p>
      <w:r>
        <w:t>Design artifacts are proposed specifications. No production implementation is asserted.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COMMERCEFLOW  /  SPRINT 1A  /  DESIGN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