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0D3B6E"/>
          <w:sz w:val="56"/>
          <w:szCs w:val="56"/>
        </w:rPr>
        <w:t xml:space="preserve">VanLang InSilico Pipeline</w:t>
      </w:r>
    </w:p>
    <w:p>
      <w:pPr>
        <w:spacing w:after="100"/>
        <w:jc w:val="center"/>
      </w:pPr>
      <w:r>
        <w:rPr>
          <w:rFonts w:ascii="Times New Roman" w:cs="Times New Roman" w:eastAsia="Times New Roman" w:hAnsi="Times New Roman"/>
          <w:b/>
          <w:bCs/>
          <w:sz w:val="24"/>
          <w:szCs w:val="24"/>
        </w:rPr>
        <w:t xml:space="preserve">Virtual Screening for Organic Dialdehyde Candidates as Formalin Alternatives in IHC-Compatible Tissue Fixation</w:t>
      </w:r>
    </w:p>
    <w:p>
      <w:pPr>
        <w:spacing w:after="80"/>
        <w:jc w:val="center"/>
      </w:pPr>
      <w:r>
        <w:rPr>
          <w:rFonts w:ascii="Times New Roman" w:cs="Times New Roman" w:eastAsia="Times New Roman" w:hAnsi="Times New Roman"/>
          <w:color w:val="555555"/>
          <w:sz w:val="20"/>
          <w:szCs w:val="20"/>
        </w:rPr>
        <w:t xml:space="preserve">Department of Medical Laboratory Technology  ·  Van Lang University  ·  Ho Chi Minh City, Vietnam  ·  2025</w:t>
      </w:r>
    </w:p>
    <w:p>
      <w:pPr>
        <w:spacing w:after="80"/>
        <w:jc w:val="center"/>
      </w:pPr>
      <w:r>
        <w:rPr>
          <w:rFonts w:ascii="Times New Roman" w:cs="Times New Roman" w:eastAsia="Times New Roman" w:hAnsi="Times New Roman"/>
          <w:color w:val="1A56A0"/>
          <w:sz w:val="20"/>
          <w:szCs w:val="20"/>
        </w:rPr>
        <w:t xml:space="preserve">github.com/lamkienthanh92/VangLangInsilico</w:t>
      </w:r>
    </w:p>
    <w:p>
      <w:pPr>
        <w:spacing w:after="320"/>
        <w:jc w:val="center"/>
      </w:pPr>
      <w:r>
        <w:rPr>
          <w:rFonts w:ascii="Times New Roman" w:cs="Times New Roman" w:eastAsia="Times New Roman" w:hAnsi="Times New Roman"/>
          <w:color w:val="7D3C00"/>
          <w:sz w:val="18"/>
          <w:szCs w:val="18"/>
        </w:rPr>
        <w:t xml:space="preserve">Hypothesis-generating in silico study — all findings require experimental validation before clinical application.</w:t>
      </w:r>
    </w:p>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1.  Background</w:t>
      </w:r>
    </w:p>
    <w:p>
      <w:pPr>
        <w:spacing w:after="140"/>
        <w:jc w:val="both"/>
      </w:pPr>
      <w:r>
        <w:rPr>
          <w:rFonts w:ascii="Times New Roman" w:cs="Times New Roman" w:eastAsia="Times New Roman" w:hAnsi="Times New Roman"/>
          <w:color w:val="000000"/>
          <w:sz w:val="22"/>
          <w:szCs w:val="22"/>
        </w:rPr>
        <w:t xml:space="preserve">Formalin (10% neutral buffered formaldehyde) is the global standard for tissue fixation in surgical pathology. Its active agent, formaldehyde, is classified as a Group 1 human carcinogen by IARC, with occupational exposure limits of 0.3 ppm (ECHA) and 0.75 ppm (OSHA, 8-h TWA). In anatomical pathology laboratories, these thresholds are routinely approached during open-bench fixation, placing laboratory personnel at sustained carcinogenic risk.</w:t>
      </w:r>
    </w:p>
    <w:p>
      <w:pPr>
        <w:spacing w:after="80"/>
      </w:pPr>
      <w:r>
        <w:t xml:space="preserve"/>
      </w:r>
    </w:p>
    <w:p>
      <w:pPr>
        <w:spacing w:after="140"/>
        <w:jc w:val="both"/>
      </w:pPr>
      <w:r>
        <w:rPr>
          <w:rFonts w:ascii="Times New Roman" w:cs="Times New Roman" w:eastAsia="Times New Roman" w:hAnsi="Times New Roman"/>
          <w:color w:val="000000"/>
          <w:sz w:val="22"/>
          <w:szCs w:val="22"/>
        </w:rPr>
        <w:t xml:space="preserve">A viable alternative must simultaneously satisfy two constraints: sufficient bifunctional crosslinking to prevent autolysis and preserve cellular morphology on haematoxylin-and-eosin (H&amp;E) sections, and adequate preservation of antibody epitope accessibility to sustain accurate IHC scoring for HER2 and PD-L1, whose results directly determine oncology treatment eligibility. This pipeline provides systematic computational evaluation of the organic dialdehyde chemical space against these dual criteria.</w:t>
      </w:r>
    </w:p>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2.  Scientific Rationale</w:t>
      </w:r>
    </w:p>
    <w:p>
      <w:pPr>
        <w:pStyle w:val="Heading2"/>
        <w:spacing w:after="120" w:before="280"/>
      </w:pPr>
      <w:r>
        <w:rPr>
          <w:rFonts w:ascii="Times New Roman" w:cs="Times New Roman" w:eastAsia="Times New Roman" w:hAnsi="Times New Roman"/>
          <w:b/>
          <w:bCs/>
          <w:color w:val="0D3B6E"/>
          <w:sz w:val="24"/>
          <w:szCs w:val="24"/>
        </w:rPr>
        <w:t xml:space="preserve">2.1  Why Non-Covalent Docking Is Appropriate for This Study</w:t>
      </w:r>
    </w:p>
    <w:p>
      <w:pPr>
        <w:spacing w:after="140"/>
        <w:jc w:val="both"/>
      </w:pPr>
      <w:r>
        <w:rPr>
          <w:rFonts w:ascii="Times New Roman" w:cs="Times New Roman" w:eastAsia="Times New Roman" w:hAnsi="Times New Roman"/>
          <w:color w:val="000000"/>
          <w:sz w:val="22"/>
          <w:szCs w:val="22"/>
        </w:rPr>
        <w:t xml:space="preserve">Schiff base crosslinking between an aldehyde and a lysine ε-amino group proceeds in two sequential steps: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Step</w:t>
            </w:r>
          </w:p>
        </w:tc>
        <w:tc>
          <w:tcPr>
            <w:tcW w:type="dxa" w:w="32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Physical event</w:t>
            </w:r>
          </w:p>
        </w:tc>
        <w:tc>
          <w:tcPr>
            <w:tcW w:type="dxa" w:w="49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Pipeline stage that evaluates this</w:t>
            </w:r>
          </w:p>
        </w:tc>
      </w:tr>
      <w:tr>
        <w:tc>
          <w:tcPr>
            <w:tcW w:type="dxa" w:w="9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Step 1</w:t>
            </w:r>
          </w:p>
        </w:tc>
        <w:tc>
          <w:tcPr>
            <w:tcW w:type="dxa" w:w="32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Pre-covalent proximity: aldehyde carbon must approach lysine NZ within ~3–4 Å with correct orientation for nucleophilic attack.</w:t>
            </w:r>
          </w:p>
        </w:tc>
        <w:tc>
          <w:tcPr>
            <w:tcW w:type="dxa" w:w="49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NB3 — Molecular Docking. AutoDock Vina optimises position and orientation of the aldehyde at the protein surface. High affinity = favourable pre-reactive geometry at the lysine NZ.</w:t>
            </w:r>
          </w:p>
        </w:tc>
      </w:tr>
      <w:tr>
        <w:tc>
          <w:tcPr>
            <w:tcW w:type="dxa" w:w="9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Step 2</w:t>
            </w:r>
          </w:p>
        </w:tc>
        <w:tc>
          <w:tcPr>
            <w:tcW w:type="dxa" w:w="32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Covalent reaction: nucleophilic addition of NH₂ to C=O → hemiaminal → Schiff base.</w:t>
            </w:r>
          </w:p>
        </w:tc>
        <w:tc>
          <w:tcPr>
            <w:tcW w:type="dxa" w:w="49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NB2 — Reactivity Scoring. Gasteiger charge on carbonyl carbon (on ANI-2x-optimised geometry) is a proxy for electrophilicity — susceptibility to nucleophilic attack.</w:t>
            </w:r>
          </w:p>
        </w:tc>
      </w:tr>
    </w:tbl>
    <w:p>
      <w:pPr>
        <w:spacing w:after="100"/>
      </w:pPr>
      <w:r>
        <w:t xml:space="preserve"/>
      </w:r>
    </w:p>
    <w:p>
      <w:pPr>
        <w:pBdr>
          <w:left w:val="thick" w:color="1A56A0" w:sz="12"/>
        </w:pBdr>
        <w:shd w:fill="EBF5FB" w:val="clear"/>
        <w:spacing w:after="80" w:before="80"/>
      </w:pPr>
      <w:r>
        <w:rPr>
          <w:rFonts w:ascii="Times New Roman" w:cs="Times New Roman" w:eastAsia="Times New Roman" w:hAnsi="Times New Roman"/>
          <w:color w:val="0D3B6E"/>
          <w:sz w:val="21"/>
          <w:szCs w:val="21"/>
        </w:rPr>
        <w:t xml:space="preserve">Step 1 is a necessary condition for Step 2. No matter how reactive a compound is chemically (NB2), if it cannot position its aldehyde carbon near a surface lysine NZ in the correct orientation (NB3), Schiff base formation cannot occur in practice. Non-covalent docking evaluates exactly this pre-covalent spatial constraint — making it the appropriate tool for Step 1, even though the final bond is covalent.</w:t>
      </w:r>
    </w:p>
    <w:p>
      <w:pPr>
        <w:spacing w:after="100"/>
      </w:pPr>
      <w:r>
        <w:t xml:space="preserve"/>
      </w:r>
    </w:p>
    <w:p>
      <w:pPr>
        <w:spacing w:after="140"/>
        <w:jc w:val="both"/>
      </w:pPr>
      <w:r>
        <w:rPr>
          <w:rFonts w:ascii="Times New Roman" w:cs="Times New Roman" w:eastAsia="Times New Roman" w:hAnsi="Times New Roman"/>
          <w:color w:val="000000"/>
          <w:sz w:val="22"/>
          <w:szCs w:val="22"/>
        </w:rPr>
        <w:t xml:space="preserve">The pipeline does not claim to model covalent bond energy. It models whether the pre-reactive complex is geometrically accessible — the rate-limiting spatial constraint for fixatives acting on a protein surface.</w:t>
      </w:r>
    </w:p>
    <w:p>
      <w:pPr>
        <w:spacing w:after="80"/>
      </w:pPr>
      <w:r>
        <w:t xml:space="preserve"/>
      </w:r>
    </w:p>
    <w:p>
      <w:pPr>
        <w:pStyle w:val="Heading2"/>
        <w:spacing w:after="120" w:before="280"/>
      </w:pPr>
      <w:r>
        <w:rPr>
          <w:rFonts w:ascii="Times New Roman" w:cs="Times New Roman" w:eastAsia="Times New Roman" w:hAnsi="Times New Roman"/>
          <w:b/>
          <w:bCs/>
          <w:color w:val="0D3B6E"/>
          <w:sz w:val="24"/>
          <w:szCs w:val="24"/>
        </w:rPr>
        <w:t xml:space="preserve">2.2  Protein Target Selection</w:t>
      </w:r>
    </w:p>
    <w:p>
      <w:pPr>
        <w:spacing w:after="140"/>
        <w:jc w:val="both"/>
      </w:pPr>
      <w:r>
        <w:rPr>
          <w:rFonts w:ascii="Times New Roman" w:cs="Times New Roman" w:eastAsia="Times New Roman" w:hAnsi="Times New Roman"/>
          <w:color w:val="000000"/>
          <w:sz w:val="22"/>
          <w:szCs w:val="22"/>
        </w:rPr>
        <w:t xml:space="preserve">HER2 and PD-L1 were selected not as drug targets but as the IHC markers whose clinical scoring is most at risk from inappropriate fixation. HER2 IHC score determines trastuzumab eligibility in breast and gastric cancer; PD-L1 IHC score determines checkpoint inhibitor eligibility. Docking was targeted to the surface-exposed lysine NZ centroid within each protein's clinically relevant epitope region, reflecting the primary crosslink sites.</w:t>
      </w:r>
    </w:p>
    <w:p>
      <w:pPr>
        <w:spacing w:after="80"/>
      </w:pPr>
      <w:r>
        <w:t xml:space="preserve"/>
      </w:r>
    </w:p>
    <w:p>
      <w:pPr>
        <w:pStyle w:val="Heading2"/>
        <w:spacing w:after="120" w:before="280"/>
      </w:pPr>
      <w:r>
        <w:rPr>
          <w:rFonts w:ascii="Times New Roman" w:cs="Times New Roman" w:eastAsia="Times New Roman" w:hAnsi="Times New Roman"/>
          <w:b/>
          <w:bCs/>
          <w:color w:val="0D3B6E"/>
          <w:sz w:val="24"/>
          <w:szCs w:val="24"/>
        </w:rPr>
        <w:t xml:space="preserve">2.3  Grand Score Formula and Weight Derivation</w:t>
      </w:r>
    </w:p>
    <w:p>
      <w:pPr>
        <w:pBdr>
          <w:left w:val="thick" w:color="1A56A0" w:sz="12"/>
        </w:pBdr>
        <w:shd w:fill="EBF5FB" w:val="clear"/>
        <w:spacing w:after="80" w:before="80"/>
      </w:pPr>
      <w:r>
        <w:rPr>
          <w:rFonts w:ascii="Times New Roman" w:cs="Times New Roman" w:eastAsia="Times New Roman" w:hAnsi="Times New Roman"/>
          <w:color w:val="0D3B6E"/>
          <w:sz w:val="21"/>
          <w:szCs w:val="21"/>
        </w:rPr>
        <w:t xml:space="preserve">Grand Score  =  Docking × 0.58  +  Feasibility (NB5) × 0.34  +  Reactivity (NB2) × 0.08</w:t>
      </w:r>
    </w:p>
    <w:p>
      <w:pPr>
        <w:spacing w:after="80"/>
      </w:pPr>
      <w:r>
        <w:t xml:space="preserve"/>
      </w:r>
    </w:p>
    <w:p>
      <w:pPr>
        <w:spacing w:after="140"/>
        <w:jc w:val="both"/>
      </w:pPr>
      <w:r>
        <w:rPr>
          <w:rFonts w:ascii="Times New Roman" w:cs="Times New Roman" w:eastAsia="Times New Roman" w:hAnsi="Times New Roman"/>
          <w:b/>
          <w:bCs/>
          <w:color w:val="000000"/>
          <w:sz w:val="22"/>
          <w:szCs w:val="22"/>
        </w:rPr>
        <w:t xml:space="preserve">Weights were derived from Coefficient of Variation (CV) analysis </w:t>
      </w:r>
      <w:r>
        <w:rPr>
          <w:rFonts w:ascii="Times New Roman" w:cs="Times New Roman" w:eastAsia="Times New Roman" w:hAnsi="Times New Roman"/>
          <w:b w:val="false"/>
          <w:bCs w:val="false"/>
          <w:color w:val="000000"/>
          <w:sz w:val="22"/>
          <w:szCs w:val="22"/>
        </w:rPr>
        <w:t xml:space="preserve">of each component score across the 10 candidate compounds (NB6 sensitivity analysis). CV measures the relative spread of each score — a higher CV indicates greater discriminative power among candidates, and therefore justifies a higher weight.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Component</w:t>
            </w:r>
          </w:p>
        </w:tc>
        <w:tc>
          <w:tcPr>
            <w:tcW w:type="dxa" w:w="12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CV (%)</w:t>
            </w:r>
          </w:p>
        </w:tc>
        <w:tc>
          <w:tcPr>
            <w:tcW w:type="dxa" w:w="16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CV-derived weight</w:t>
            </w:r>
          </w:p>
        </w:tc>
        <w:tc>
          <w:tcPr>
            <w:tcW w:type="dxa" w:w="42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Mechanistic role</w:t>
            </w:r>
          </w:p>
        </w:tc>
      </w:tr>
      <w:tr>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Docking (NB3)</w:t>
            </w:r>
          </w:p>
        </w:tc>
        <w:tc>
          <w:tcPr>
            <w:tcW w:type="dxa" w:w="12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6.7%</w:t>
            </w:r>
          </w:p>
        </w:tc>
        <w:tc>
          <w:tcPr>
            <w:tcW w:type="dxa" w:w="16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0.58</w:t>
            </w:r>
          </w:p>
        </w:tc>
        <w:tc>
          <w:tcPr>
            <w:tcW w:type="dxa" w:w="42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Step 1 of Schiff base — pre-covalent spatial pre-condition. Highest CV = most discriminating among candidates.</w:t>
            </w:r>
          </w:p>
        </w:tc>
      </w:tr>
      <w:tr>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Feasibility (NB5)</w:t>
            </w:r>
          </w:p>
        </w:tc>
        <w:tc>
          <w:tcPr>
            <w:tcW w:type="dxa" w:w="12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3.9%</w:t>
            </w:r>
          </w:p>
        </w:tc>
        <w:tc>
          <w:tcPr>
            <w:tcW w:type="dxa" w:w="16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0.34</w:t>
            </w:r>
          </w:p>
        </w:tc>
        <w:tc>
          <w:tcPr>
            <w:tcW w:type="dxa" w:w="42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Clinical workflow: penetration rate (CAP guideline), fixation kinetics, shelf-life stability.</w:t>
            </w:r>
          </w:p>
        </w:tc>
      </w:tr>
      <w:tr>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Reactivity (NB2)</w:t>
            </w:r>
          </w:p>
        </w:tc>
        <w:tc>
          <w:tcPr>
            <w:tcW w:type="dxa" w:w="12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0.9%</w:t>
            </w:r>
          </w:p>
        </w:tc>
        <w:tc>
          <w:tcPr>
            <w:tcW w:type="dxa" w:w="16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0.08</w:t>
            </w:r>
          </w:p>
        </w:tc>
        <w:tc>
          <w:tcPr>
            <w:tcW w:type="dxa" w:w="42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Step 2 chemical reactivity proxy. Lowest CV — within filtered dialdehyde class, variation is modest.</w:t>
            </w:r>
          </w:p>
        </w:tc>
      </w:tr>
      <w:tr>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SASA (NB4)</w:t>
            </w:r>
          </w:p>
        </w:tc>
        <w:tc>
          <w:tcPr>
            <w:tcW w:type="dxa" w:w="12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w:t>
            </w:r>
          </w:p>
        </w:tc>
        <w:tc>
          <w:tcPr>
            <w:tcW w:type="dxa" w:w="16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0 (binary)</w:t>
            </w:r>
          </w:p>
        </w:tc>
        <w:tc>
          <w:tcPr>
            <w:tcW w:type="dxa" w:w="42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All 10 candidates pass 85–115% accessibility. Used as go/no-go exclusion; model insufficient for ranking.</w:t>
            </w:r>
          </w:p>
        </w:tc>
      </w:tr>
    </w:tbl>
    <w:p>
      <w:pPr>
        <w:spacing w:after="80"/>
      </w:pPr>
      <w:r>
        <w:t xml:space="preserve"/>
      </w:r>
    </w:p>
    <w:p>
      <w:pPr>
        <w:spacing w:after="140"/>
        <w:jc w:val="both"/>
      </w:pPr>
      <w:r>
        <w:rPr>
          <w:rFonts w:ascii="Times New Roman" w:cs="Times New Roman" w:eastAsia="Times New Roman" w:hAnsi="Times New Roman"/>
          <w:b w:val="false"/>
          <w:bCs w:val="false"/>
          <w:color w:val="000000"/>
          <w:sz w:val="22"/>
          <w:szCs w:val="22"/>
        </w:rPr>
        <w:t xml:space="preserve">CV rank order (Docking &gt; NB5 &gt; NB2) is consistent with mechanistic priority </w:t>
      </w:r>
      <w:r>
        <w:rPr>
          <w:rFonts w:ascii="Times New Roman" w:cs="Times New Roman" w:eastAsia="Times New Roman" w:hAnsi="Times New Roman"/>
          <w:b w:val="false"/>
          <w:bCs w:val="false"/>
          <w:color w:val="000000"/>
          <w:sz w:val="22"/>
          <w:szCs w:val="22"/>
        </w:rPr>
        <w:t xml:space="preserve">(Step 1 spatial constraint &gt; clinical feasibility &gt; chemical reactivity), providing dual justification for the weight assignments — quantitative (CV) and mechanistic.</w:t>
      </w:r>
    </w:p>
    <w:p>
      <w:pPr>
        <w:spacing w:after="60"/>
      </w:pPr>
      <w:r>
        <w:t xml:space="preserve"/>
      </w:r>
    </w:p>
    <w:p>
      <w:pPr>
        <w:spacing w:after="140"/>
        <w:jc w:val="both"/>
      </w:pPr>
      <w:r>
        <w:rPr>
          <w:rFonts w:ascii="Times New Roman" w:cs="Times New Roman" w:eastAsia="Times New Roman" w:hAnsi="Times New Roman"/>
          <w:b/>
          <w:bCs/>
          <w:color w:val="000000"/>
          <w:sz w:val="22"/>
          <w:szCs w:val="22"/>
        </w:rPr>
        <w:t xml:space="preserve">Sensitivity analysis (NB6): </w:t>
      </w:r>
      <w:r>
        <w:rPr>
          <w:rFonts w:ascii="Times New Roman" w:cs="Times New Roman" w:eastAsia="Times New Roman" w:hAnsi="Times New Roman"/>
          <w:b w:val="false"/>
          <w:bCs w:val="false"/>
          <w:color w:val="000000"/>
          <w:sz w:val="22"/>
          <w:szCs w:val="22"/>
        </w:rPr>
        <w:t xml:space="preserve">Across 129 weight combinations (each component 10–75%, step 5%), all 10 candidate compounds ranked above glutaraldehyde in 71–100% of scenarios (mean Spearman ρ = 0.79 vs baseline). Precise within-candidate ordering showed moderate weight sensitivity (top-3 set stable in 22% of scenarios). Candidate superiority over the reference fixative is therefore a robust finding; precise top-3 ordering should be treated as a direction for experimental prioritisation rather than a definitive rank.</w:t>
      </w:r>
    </w:p>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3.  Pipeline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Notebook</w:t>
            </w:r>
          </w:p>
        </w:tc>
        <w:tc>
          <w:tcPr>
            <w:tcW w:type="dxa" w:w="42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Method</w:t>
            </w:r>
          </w:p>
        </w:tc>
        <w:tc>
          <w:tcPr>
            <w:tcW w:type="dxa" w:w="34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Input → Output</w:t>
            </w:r>
          </w:p>
        </w:tc>
      </w:tr>
      <w:tr>
        <w:tc>
          <w:tcPr>
            <w:tcW w:type="dxa" w:w="14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NB1</w:t>
            </w:r>
          </w:p>
        </w:tc>
        <w:tc>
          <w:tcPr>
            <w:tcW w:type="dxa" w:w="42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Chemical + ADMET filter (RDKit): 12 criteria — MW ≤ 200 Da, LogP ≤ 1.0, ≥ 2 electrophile groups, no enone / PAINS / mutagenic alert / organometallic, deduplication</w:t>
            </w:r>
          </w:p>
        </w:tc>
        <w:tc>
          <w:tcPr>
            <w:tcW w:type="dxa" w:w="34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1,007 PubChem CIDs → 154 compounds</w:t>
            </w:r>
          </w:p>
        </w:tc>
      </w:tr>
      <w:tr>
        <w:tc>
          <w:tcPr>
            <w:tcW w:type="dxa" w:w="14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NB2</w:t>
            </w:r>
          </w:p>
        </w:tc>
        <w:tc>
          <w:tcPr>
            <w:tcW w:type="dxa" w:w="42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Reactivity scoring: TorchANI ANI-2x GPU geometry optimisation → Gasteiger carbonyl charge → composite electrophilicity score (147/154 GPU, 95.5%)</w:t>
            </w:r>
          </w:p>
        </w:tc>
        <w:tc>
          <w:tcPr>
            <w:tcW w:type="dxa" w:w="34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154 → Top 30</w:t>
            </w:r>
          </w:p>
        </w:tc>
      </w:tr>
      <w:tr>
        <w:tc>
          <w:tcPr>
            <w:tcW w:type="dxa" w:w="14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NB3</w:t>
            </w:r>
          </w:p>
        </w:tc>
        <w:tc>
          <w:tcPr>
            <w:tcW w:type="dxa" w:w="42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Molecular docking (AutoDock Vina 1.2.7): HER2 (PDB: 1N8Z) + PD-L1 (PDB: 5X8M); lysine NZ centroid; 40×40×40 Å; exhaustiveness 16; 30/30 converged</w:t>
            </w:r>
          </w:p>
        </w:tc>
        <w:tc>
          <w:tcPr>
            <w:tcW w:type="dxa" w:w="34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Top 30 → Top 10</w:t>
            </w:r>
          </w:p>
        </w:tc>
      </w:tr>
      <w:tr>
        <w:tc>
          <w:tcPr>
            <w:tcW w:type="dxa" w:w="14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NB4</w:t>
            </w:r>
          </w:p>
        </w:tc>
        <w:tc>
          <w:tcPr>
            <w:tcW w:type="dxa" w:w="42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Epitope SASA (FreeSASA, Lee-Richards, probe 1.4 Å): binary pass/fail 85–115%; exclusion gate only</w:t>
            </w:r>
          </w:p>
        </w:tc>
        <w:tc>
          <w:tcPr>
            <w:tcW w:type="dxa" w:w="34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10/10 pass</w:t>
            </w:r>
          </w:p>
        </w:tc>
      </w:tr>
      <w:tr>
        <w:tc>
          <w:tcPr>
            <w:tcW w:type="dxa" w:w="14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NB5</w:t>
            </w:r>
          </w:p>
        </w:tc>
        <w:tc>
          <w:tcPr>
            <w:tcW w:type="dxa" w:w="42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Feasibility (Wilke-Chang penetration + Arrhenius kinetics proxy + stability); CV-derived Grand Score</w:t>
            </w:r>
          </w:p>
        </w:tc>
        <w:tc>
          <w:tcPr>
            <w:tcW w:type="dxa" w:w="34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Grand Final ranking</w:t>
            </w:r>
          </w:p>
        </w:tc>
      </w:tr>
      <w:tr>
        <w:tc>
          <w:tcPr>
            <w:tcW w:type="dxa" w:w="14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NB6</w:t>
            </w:r>
          </w:p>
        </w:tc>
        <w:tc>
          <w:tcPr>
            <w:tcW w:type="dxa" w:w="42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Sensitivity analysis: CV discriminative power + 129 weight combinations robustness test</w:t>
            </w:r>
          </w:p>
        </w:tc>
        <w:tc>
          <w:tcPr>
            <w:tcW w:type="dxa" w:w="34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Weight justification + robustness report</w:t>
            </w:r>
          </w:p>
        </w:tc>
      </w:tr>
      <w:tr>
        <w:tc>
          <w:tcPr>
            <w:tcW w:type="dxa" w:w="14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NB4_NB5_refs</w:t>
            </w:r>
          </w:p>
        </w:tc>
        <w:tc>
          <w:tcPr>
            <w:tcW w:type="dxa" w:w="42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Unified ranking: 10 candidates + 4 references on same Grand Score scale</w:t>
            </w:r>
          </w:p>
        </w:tc>
        <w:tc>
          <w:tcPr>
            <w:tcW w:type="dxa" w:w="34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14-compound comparison table</w:t>
            </w:r>
          </w:p>
        </w:tc>
      </w:tr>
    </w:tbl>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4.  Protein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
            </w:r>
          </w:p>
        </w:tc>
        <w:tc>
          <w:tcPr>
            <w:tcW w:type="dxa" w:w="3513"/>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HER2 (PDB: 1N8Z)</w:t>
            </w:r>
          </w:p>
        </w:tc>
        <w:tc>
          <w:tcPr>
            <w:tcW w:type="dxa" w:w="3513"/>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PD-L1 (PDB: 5X8M)</w:t>
            </w:r>
          </w:p>
        </w:tc>
      </w:tr>
      <w:tr>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Resolution</w:t>
            </w:r>
          </w:p>
        </w:tc>
        <w:tc>
          <w:tcPr>
            <w:tcW w:type="dxa" w:w="3513"/>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2.5 Å</w:t>
            </w:r>
          </w:p>
        </w:tc>
        <w:tc>
          <w:tcPr>
            <w:tcW w:type="dxa" w:w="3513"/>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2.9 Å</w:t>
            </w:r>
          </w:p>
        </w:tc>
      </w:tr>
      <w:tr>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Epitope targeted</w:t>
            </w:r>
          </w:p>
        </w:tc>
        <w:tc>
          <w:tcPr>
            <w:tcW w:type="dxa" w:w="3513"/>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Domain IV (res. 161–214) — clone 4B5 site</w:t>
            </w:r>
          </w:p>
        </w:tc>
        <w:tc>
          <w:tcPr>
            <w:tcW w:type="dxa" w:w="3513"/>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IgV domain (res. 18–63) — atezolizumab site</w:t>
            </w:r>
          </w:p>
        </w:tc>
      </w:tr>
      <w:tr>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LYS NZ atoms used for grid</w:t>
            </w:r>
          </w:p>
        </w:tc>
        <w:tc>
          <w:tcPr>
            <w:tcW w:type="dxa" w:w="3513"/>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12 atoms (5 LYS residues)</w:t>
            </w:r>
          </w:p>
        </w:tc>
        <w:tc>
          <w:tcPr>
            <w:tcW w:type="dxa" w:w="3513"/>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9 atoms (4 LYS residues)</w:t>
            </w:r>
          </w:p>
        </w:tc>
      </w:tr>
      <w:tr>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Grid centre (Å)</w:t>
            </w:r>
          </w:p>
        </w:tc>
        <w:tc>
          <w:tcPr>
            <w:tcW w:type="dxa" w:w="3513"/>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(41.63, 46.25, 86.83)</w:t>
            </w:r>
          </w:p>
        </w:tc>
        <w:tc>
          <w:tcPr>
            <w:tcW w:type="dxa" w:w="3513"/>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(28.03, 105.07, 91.11)</w:t>
            </w:r>
          </w:p>
        </w:tc>
      </w:tr>
      <w:tr>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Epitope SASA (Å²)</w:t>
            </w:r>
          </w:p>
        </w:tc>
        <w:tc>
          <w:tcPr>
            <w:tcW w:type="dxa" w:w="3513"/>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2,988 (26.4% of total)</w:t>
            </w:r>
          </w:p>
        </w:tc>
        <w:tc>
          <w:tcPr>
            <w:tcW w:type="dxa" w:w="3513"/>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2,874 (43.0% of total)</w:t>
            </w:r>
          </w:p>
        </w:tc>
      </w:tr>
      <w:tr>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Clinical relevance</w:t>
            </w:r>
          </w:p>
        </w:tc>
        <w:tc>
          <w:tcPr>
            <w:tcW w:type="dxa" w:w="3513"/>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HER2 IHC → trastuzumab eligibility</w:t>
            </w:r>
          </w:p>
        </w:tc>
        <w:tc>
          <w:tcPr>
            <w:tcW w:type="dxa" w:w="3513"/>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PD-L1 IHC → checkpoint inhibitor eligibility</w:t>
            </w:r>
          </w:p>
        </w:tc>
      </w:tr>
    </w:tbl>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5.  Key Results</w:t>
      </w:r>
    </w:p>
    <w:p>
      <w:pPr>
        <w:spacing w:after="140"/>
        <w:jc w:val="both"/>
      </w:pPr>
      <w:r>
        <w:rPr>
          <w:rFonts w:ascii="Times New Roman" w:cs="Times New Roman" w:eastAsia="Times New Roman" w:hAnsi="Times New Roman"/>
          <w:color w:val="000000"/>
          <w:sz w:val="22"/>
          <w:szCs w:val="22"/>
        </w:rPr>
        <w:t xml:space="preserve">All 10 candidate compounds ranked above all 4 reference fixatives by Grand Score. The primary finding — candidate superiority over glutaraldehyde — was confirmed in 71–100% of 129 sensitivity analysis weight combinations.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6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Rank</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Compound</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SMILES</w:t>
            </w:r>
          </w:p>
        </w:tc>
        <w:tc>
          <w:tcPr>
            <w:tcW w:type="dxa" w:w="9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Grand Score</w:t>
            </w:r>
          </w:p>
        </w:tc>
        <w:tc>
          <w:tcPr>
            <w:tcW w:type="dxa" w:w="11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vs Glutaraldehyde</w:t>
            </w:r>
          </w:p>
        </w:tc>
        <w:tc>
          <w:tcPr>
            <w:tcW w:type="dxa" w:w="13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Type</w:t>
            </w:r>
          </w:p>
        </w:tc>
      </w:tr>
      <w:tr>
        <w:tc>
          <w:tcPr>
            <w:tcW w:type="dxa" w:w="6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1</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CID 87944034</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O=CCCC#CCCC=O</w:t>
            </w:r>
          </w:p>
        </w:tc>
        <w:tc>
          <w:tcPr>
            <w:tcW w:type="dxa" w:w="9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47.21</w:t>
            </w:r>
          </w:p>
        </w:tc>
        <w:tc>
          <w:tcPr>
            <w:tcW w:type="dxa" w:w="11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+5.98</w:t>
            </w:r>
          </w:p>
        </w:tc>
        <w:tc>
          <w:tcPr>
            <w:tcW w:type="dxa" w:w="13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2</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CID 91427</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CCC(C=O)CC=O</w:t>
            </w:r>
          </w:p>
        </w:tc>
        <w:tc>
          <w:tcPr>
            <w:tcW w:type="dxa" w:w="9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45.32</w:t>
            </w:r>
          </w:p>
        </w:tc>
        <w:tc>
          <w:tcPr>
            <w:tcW w:type="dxa" w:w="11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+4.09</w:t>
            </w:r>
          </w:p>
        </w:tc>
        <w:tc>
          <w:tcPr>
            <w:tcW w:type="dxa" w:w="13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3</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9"/>
                <w:szCs w:val="19"/>
              </w:rPr>
              <w:t xml:space="preserve">CID 85655730</w:t>
            </w:r>
          </w:p>
        </w:tc>
        <w:tc>
          <w:tcPr>
            <w:tcW w:type="dxa" w:w="2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O=CCCC(=O)CCC=O</w:t>
            </w:r>
          </w:p>
        </w:tc>
        <w:tc>
          <w:tcPr>
            <w:tcW w:type="dxa" w:w="95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44.72</w:t>
            </w:r>
          </w:p>
        </w:tc>
        <w:tc>
          <w:tcPr>
            <w:tcW w:type="dxa" w:w="11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+3.49</w:t>
            </w:r>
          </w:p>
        </w:tc>
        <w:tc>
          <w:tcPr>
            <w:tcW w:type="dxa" w:w="13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4</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CID 10953466</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CC(=O)CCCC=O</w:t>
            </w:r>
          </w:p>
        </w:tc>
        <w:tc>
          <w:tcPr>
            <w:tcW w:type="dxa" w:w="9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44.43</w:t>
            </w:r>
          </w:p>
        </w:tc>
        <w:tc>
          <w:tcPr>
            <w:tcW w:type="dxa" w:w="11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+3.20</w:t>
            </w:r>
          </w:p>
        </w:tc>
        <w:tc>
          <w:tcPr>
            <w:tcW w:type="dxa" w:w="13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5</w:t>
            </w:r>
          </w:p>
        </w:tc>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CID 12484446</w:t>
            </w:r>
          </w:p>
        </w:tc>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CCOC(CC=O)CC=O</w:t>
            </w:r>
          </w:p>
        </w:tc>
        <w:tc>
          <w:tcPr>
            <w:tcW w:type="dxa" w:w="95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43.91</w:t>
            </w:r>
          </w:p>
        </w:tc>
        <w:tc>
          <w:tcPr>
            <w:tcW w:type="dxa" w:w="11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+2.68</w:t>
            </w:r>
          </w:p>
        </w:tc>
        <w:tc>
          <w:tcPr>
            <w:tcW w:type="dxa" w:w="13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6</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CID 21190979</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CC(C)(C=O)CC=O</w:t>
            </w:r>
          </w:p>
        </w:tc>
        <w:tc>
          <w:tcPr>
            <w:tcW w:type="dxa" w:w="9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43.85</w:t>
            </w:r>
          </w:p>
        </w:tc>
        <w:tc>
          <w:tcPr>
            <w:tcW w:type="dxa" w:w="11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+2.62</w:t>
            </w:r>
          </w:p>
        </w:tc>
        <w:tc>
          <w:tcPr>
            <w:tcW w:type="dxa" w:w="13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7</w:t>
            </w:r>
          </w:p>
        </w:tc>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CID 22174207</w:t>
            </w:r>
          </w:p>
        </w:tc>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O=CCCC(C=O)CC=O</w:t>
            </w:r>
          </w:p>
        </w:tc>
        <w:tc>
          <w:tcPr>
            <w:tcW w:type="dxa" w:w="95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43.77</w:t>
            </w:r>
          </w:p>
        </w:tc>
        <w:tc>
          <w:tcPr>
            <w:tcW w:type="dxa" w:w="11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+2.54</w:t>
            </w:r>
          </w:p>
        </w:tc>
        <w:tc>
          <w:tcPr>
            <w:tcW w:type="dxa" w:w="13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8</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CID 101171</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CC(C=O)CCC=O</w:t>
            </w:r>
          </w:p>
        </w:tc>
        <w:tc>
          <w:tcPr>
            <w:tcW w:type="dxa" w:w="9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43.66</w:t>
            </w:r>
          </w:p>
        </w:tc>
        <w:tc>
          <w:tcPr>
            <w:tcW w:type="dxa" w:w="11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+2.43</w:t>
            </w:r>
          </w:p>
        </w:tc>
        <w:tc>
          <w:tcPr>
            <w:tcW w:type="dxa" w:w="13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9</w:t>
            </w:r>
          </w:p>
        </w:tc>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CID 80473</w:t>
            </w:r>
          </w:p>
        </w:tc>
        <w:tc>
          <w:tcPr>
            <w:tcW w:type="dxa" w:w="2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CC(CC=O)CC=O</w:t>
            </w:r>
          </w:p>
        </w:tc>
        <w:tc>
          <w:tcPr>
            <w:tcW w:type="dxa" w:w="95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43.49</w:t>
            </w:r>
          </w:p>
        </w:tc>
        <w:tc>
          <w:tcPr>
            <w:tcW w:type="dxa" w:w="11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+2.26</w:t>
            </w:r>
          </w:p>
        </w:tc>
        <w:tc>
          <w:tcPr>
            <w:tcW w:type="dxa" w:w="13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10</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9"/>
                <w:szCs w:val="19"/>
              </w:rPr>
              <w:t xml:space="preserve">CID 70620</w:t>
            </w:r>
          </w:p>
        </w:tc>
        <w:tc>
          <w:tcPr>
            <w:tcW w:type="dxa" w:w="2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O=CCCCCC=O</w:t>
            </w:r>
          </w:p>
        </w:tc>
        <w:tc>
          <w:tcPr>
            <w:tcW w:type="dxa" w:w="95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42.78</w:t>
            </w:r>
          </w:p>
        </w:tc>
        <w:tc>
          <w:tcPr>
            <w:tcW w:type="dxa" w:w="11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155724"/>
                <w:sz w:val="19"/>
                <w:szCs w:val="19"/>
              </w:rPr>
              <w:t xml:space="preserve">+1.55</w:t>
            </w:r>
          </w:p>
        </w:tc>
        <w:tc>
          <w:tcPr>
            <w:tcW w:type="dxa" w:w="13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D3B6E"/>
                <w:sz w:val="17"/>
                <w:szCs w:val="17"/>
              </w:rPr>
              <w:t xml:space="preserve">Candidate</w:t>
            </w:r>
          </w:p>
        </w:tc>
      </w:tr>
      <w:tr>
        <w:tc>
          <w:tcPr>
            <w:tcW w:type="dxa" w:w="6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11</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Glutaraldehyde</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O=CCCCC=O</w:t>
            </w:r>
          </w:p>
        </w:tc>
        <w:tc>
          <w:tcPr>
            <w:tcW w:type="dxa" w:w="9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7D3C00"/>
                <w:sz w:val="19"/>
                <w:szCs w:val="19"/>
              </w:rPr>
              <w:t xml:space="preserve">41.23</w:t>
            </w:r>
          </w:p>
        </w:tc>
        <w:tc>
          <w:tcPr>
            <w:tcW w:type="dxa" w:w="11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w:t>
            </w:r>
          </w:p>
        </w:tc>
        <w:tc>
          <w:tcPr>
            <w:tcW w:type="dxa" w:w="1326"/>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7D3C00"/>
                <w:sz w:val="17"/>
                <w:szCs w:val="17"/>
              </w:rPr>
              <w:t xml:space="preserve">Reference</w:t>
            </w:r>
          </w:p>
        </w:tc>
      </w:tr>
      <w:tr>
        <w:tc>
          <w:tcPr>
            <w:tcW w:type="dxa" w:w="6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12</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Succinaldehyde</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O=CCCC=O</w:t>
            </w:r>
          </w:p>
        </w:tc>
        <w:tc>
          <w:tcPr>
            <w:tcW w:type="dxa" w:w="9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7D3C00"/>
                <w:sz w:val="19"/>
                <w:szCs w:val="19"/>
              </w:rPr>
              <w:t xml:space="preserve">38.85</w:t>
            </w:r>
          </w:p>
        </w:tc>
        <w:tc>
          <w:tcPr>
            <w:tcW w:type="dxa" w:w="11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8B0000"/>
                <w:sz w:val="19"/>
                <w:szCs w:val="19"/>
              </w:rPr>
              <w:t xml:space="preserve">−2.38</w:t>
            </w:r>
          </w:p>
        </w:tc>
        <w:tc>
          <w:tcPr>
            <w:tcW w:type="dxa" w:w="1326"/>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7D3C00"/>
                <w:sz w:val="17"/>
                <w:szCs w:val="17"/>
              </w:rPr>
              <w:t xml:space="preserve">Reference</w:t>
            </w:r>
          </w:p>
        </w:tc>
      </w:tr>
      <w:tr>
        <w:tc>
          <w:tcPr>
            <w:tcW w:type="dxa" w:w="6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13</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Glyoxal</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O=CC=O</w:t>
            </w:r>
          </w:p>
        </w:tc>
        <w:tc>
          <w:tcPr>
            <w:tcW w:type="dxa" w:w="9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7D3C00"/>
                <w:sz w:val="19"/>
                <w:szCs w:val="19"/>
              </w:rPr>
              <w:t xml:space="preserve">37.97</w:t>
            </w:r>
          </w:p>
        </w:tc>
        <w:tc>
          <w:tcPr>
            <w:tcW w:type="dxa" w:w="11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8B0000"/>
                <w:sz w:val="19"/>
                <w:szCs w:val="19"/>
              </w:rPr>
              <w:t xml:space="preserve">−3.26</w:t>
            </w:r>
          </w:p>
        </w:tc>
        <w:tc>
          <w:tcPr>
            <w:tcW w:type="dxa" w:w="1326"/>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7D3C00"/>
                <w:sz w:val="17"/>
                <w:szCs w:val="17"/>
              </w:rPr>
              <w:t xml:space="preserve">Reference</w:t>
            </w:r>
          </w:p>
        </w:tc>
      </w:tr>
      <w:tr>
        <w:tc>
          <w:tcPr>
            <w:tcW w:type="dxa" w:w="6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00000"/>
                <w:sz w:val="19"/>
                <w:szCs w:val="19"/>
              </w:rPr>
              <w:t xml:space="preserve">14</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Formalin</w:t>
            </w:r>
          </w:p>
        </w:tc>
        <w:tc>
          <w:tcPr>
            <w:tcW w:type="dxa" w:w="20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7"/>
                <w:szCs w:val="17"/>
              </w:rPr>
              <w:t xml:space="preserve">C=O</w:t>
            </w:r>
          </w:p>
        </w:tc>
        <w:tc>
          <w:tcPr>
            <w:tcW w:type="dxa" w:w="95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7D3C00"/>
                <w:sz w:val="19"/>
                <w:szCs w:val="19"/>
              </w:rPr>
              <w:t xml:space="preserve">25.21</w:t>
            </w:r>
          </w:p>
        </w:tc>
        <w:tc>
          <w:tcPr>
            <w:tcW w:type="dxa" w:w="1100"/>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8B0000"/>
                <w:sz w:val="19"/>
                <w:szCs w:val="19"/>
              </w:rPr>
              <w:t xml:space="preserve">−16.02</w:t>
            </w:r>
          </w:p>
        </w:tc>
        <w:tc>
          <w:tcPr>
            <w:tcW w:type="dxa" w:w="1326"/>
            <w:tcBorders>
              <w:top w:val="single" w:color="C8C8C8" w:sz="1"/>
              <w:left w:val="single" w:color="C8C8C8" w:sz="1"/>
              <w:bottom w:val="single" w:color="C8C8C8" w:sz="1"/>
              <w:right w:val="single" w:color="C8C8C8" w:sz="1"/>
            </w:tcBorders>
            <w:shd w:fill="FFF3CD"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7D3C00"/>
                <w:sz w:val="17"/>
                <w:szCs w:val="17"/>
              </w:rPr>
              <w:t xml:space="preserve">Reference</w:t>
            </w:r>
          </w:p>
        </w:tc>
      </w:tr>
    </w:tbl>
    <w:p>
      <w:pPr>
        <w:spacing w:after="80"/>
      </w:pPr>
      <w:r>
        <w:t xml:space="preserve"/>
      </w:r>
    </w:p>
    <w:p>
      <w:pPr>
        <w:spacing w:after="140"/>
        <w:jc w:val="both"/>
      </w:pPr>
      <w:r>
        <w:rPr>
          <w:rFonts w:ascii="Times New Roman" w:cs="Times New Roman" w:eastAsia="Times New Roman" w:hAnsi="Times New Roman"/>
          <w:b/>
          <w:bCs/>
          <w:color w:val="000000"/>
          <w:sz w:val="22"/>
          <w:szCs w:val="22"/>
        </w:rPr>
        <w:t xml:space="preserve">Wet laboratory priority: </w:t>
      </w:r>
      <w:r>
        <w:rPr>
          <w:rFonts w:ascii="Times New Roman" w:cs="Times New Roman" w:eastAsia="Times New Roman" w:hAnsi="Times New Roman"/>
          <w:b w:val="false"/>
          <w:bCs w:val="false"/>
          <w:color w:val="000000"/>
          <w:sz w:val="22"/>
          <w:szCs w:val="22"/>
        </w:rPr>
        <w:t xml:space="preserve">Succinaldehyde (Grand Score 38.85; rank 12) is the recommended first wet lab candidate despite its ranking, owing to commercial availability (Sigma-Aldrich, TCI), lowest MW in the dialdehyde class (86.1 Da), and published IHC compatibility data (Richter et al., EMBO J 2018; Criswell et al., J Histotechnol 2022). Among the top 10, CID 70620 (hexanedial; Sigma-Aldrich) and CID 80473 (3-methylglutaraldehyde) and CID 101171 (2-methylglutaraldehyde) have confirmed commercial availability. CID 87944034 (oct-4-yne-1,8-dial; rank 1) warrants biocompatibility assessment before use owing to its internal alkyne group (C≡C) at position 4, for which no published safety or fixation data are available.</w:t>
      </w:r>
    </w:p>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6.  Declared Limitations</w:t>
      </w:r>
    </w:p>
    <w:p>
      <w:pPr>
        <w:spacing w:after="140"/>
        <w:jc w:val="both"/>
      </w:pPr>
      <w:r>
        <w:rPr>
          <w:rFonts w:ascii="Times New Roman" w:cs="Times New Roman" w:eastAsia="Times New Roman" w:hAnsi="Times New Roman"/>
          <w:b/>
          <w:bCs/>
          <w:color w:val="000000"/>
          <w:sz w:val="22"/>
          <w:szCs w:val="22"/>
        </w:rPr>
        <w:t xml:space="preserve">Non-covalent docking. </w:t>
      </w:r>
      <w:r>
        <w:rPr>
          <w:rFonts w:ascii="Times New Roman" w:cs="Times New Roman" w:eastAsia="Times New Roman" w:hAnsi="Times New Roman"/>
          <w:b w:val="false"/>
          <w:bCs w:val="false"/>
          <w:color w:val="000000"/>
          <w:sz w:val="22"/>
          <w:szCs w:val="22"/>
        </w:rPr>
        <w:t xml:space="preserve">AutoDock Vina evaluates pre-covalent surface proximity (Step 1). Covalent bond energy of Step 2 requires QM/MM or covalent docking tools. Docking affinities are relative surface-proximity indices, not absolute crosslink energies.</w:t>
      </w:r>
    </w:p>
    <w:p>
      <w:pPr>
        <w:spacing w:after="60"/>
      </w:pPr>
      <w:r>
        <w:t xml:space="preserve"/>
      </w:r>
    </w:p>
    <w:p>
      <w:pPr>
        <w:spacing w:after="140"/>
        <w:jc w:val="both"/>
      </w:pPr>
      <w:r>
        <w:rPr>
          <w:rFonts w:ascii="Times New Roman" w:cs="Times New Roman" w:eastAsia="Times New Roman" w:hAnsi="Times New Roman"/>
          <w:b/>
          <w:bCs/>
          <w:color w:val="000000"/>
          <w:sz w:val="22"/>
          <w:szCs w:val="22"/>
        </w:rPr>
        <w:t xml:space="preserve">SASA discrimination. </w:t>
      </w:r>
      <w:r>
        <w:rPr>
          <w:rFonts w:ascii="Times New Roman" w:cs="Times New Roman" w:eastAsia="Times New Roman" w:hAnsi="Times New Roman"/>
          <w:b w:val="false"/>
          <w:bCs w:val="false"/>
          <w:color w:val="000000"/>
          <w:sz w:val="22"/>
          <w:szCs w:val="22"/>
        </w:rPr>
        <w:t xml:space="preserve">Empirical ΔSASA model yields 98.5–99.5% for all compounds — insufficient for ranking. All 10 pass binary criterion. Molecular dynamics simulation with explicit crosslinked complexes is required for quantitative epitope accessibility.</w:t>
      </w:r>
    </w:p>
    <w:p>
      <w:pPr>
        <w:spacing w:after="60"/>
      </w:pPr>
      <w:r>
        <w:t xml:space="preserve"/>
      </w:r>
    </w:p>
    <w:p>
      <w:pPr>
        <w:spacing w:after="140"/>
        <w:jc w:val="both"/>
      </w:pPr>
      <w:r>
        <w:rPr>
          <w:rFonts w:ascii="Times New Roman" w:cs="Times New Roman" w:eastAsia="Times New Roman" w:hAnsi="Times New Roman"/>
          <w:b/>
          <w:bCs/>
          <w:color w:val="000000"/>
          <w:sz w:val="22"/>
          <w:szCs w:val="22"/>
        </w:rPr>
        <w:t xml:space="preserve">Tissue penetration model. </w:t>
      </w:r>
      <w:r>
        <w:rPr>
          <w:rFonts w:ascii="Times New Roman" w:cs="Times New Roman" w:eastAsia="Times New Roman" w:hAnsi="Times New Roman"/>
          <w:b w:val="false"/>
          <w:bCs w:val="false"/>
          <w:color w:val="000000"/>
          <w:sz w:val="22"/>
          <w:szCs w:val="22"/>
        </w:rPr>
        <w:t xml:space="preserve">Wilke-Chang derived for dilute aqueous solution. Omits ECM tortuosity, glycocalyx, and tumour microenvironment interstitial pressure. A two-phase Fickian model (Hopwood, 1969) would be more appropriate.</w:t>
      </w:r>
    </w:p>
    <w:p>
      <w:pPr>
        <w:spacing w:after="60"/>
      </w:pPr>
      <w:r>
        <w:t xml:space="preserve"/>
      </w:r>
    </w:p>
    <w:p>
      <w:pPr>
        <w:spacing w:after="140"/>
        <w:jc w:val="both"/>
      </w:pPr>
      <w:r>
        <w:rPr>
          <w:rFonts w:ascii="Times New Roman" w:cs="Times New Roman" w:eastAsia="Times New Roman" w:hAnsi="Times New Roman"/>
          <w:b/>
          <w:bCs/>
          <w:color w:val="000000"/>
          <w:sz w:val="22"/>
          <w:szCs w:val="22"/>
        </w:rPr>
        <w:t xml:space="preserve">H&amp;E morphological preservation not assessed. </w:t>
      </w:r>
      <w:r>
        <w:rPr>
          <w:rFonts w:ascii="Times New Roman" w:cs="Times New Roman" w:eastAsia="Times New Roman" w:hAnsi="Times New Roman"/>
          <w:b w:val="false"/>
          <w:bCs w:val="false"/>
          <w:color w:val="000000"/>
          <w:sz w:val="22"/>
          <w:szCs w:val="22"/>
        </w:rPr>
        <w:t xml:space="preserve">IHC epitope compatibility is necessary but not sufficient. Autolysis prevention, chromatin detail, absence of shrinkage artefacts — all mandatory experimental endpoints not evaluated here.</w:t>
      </w:r>
    </w:p>
    <w:p>
      <w:pPr>
        <w:spacing w:after="60"/>
      </w:pPr>
      <w:r>
        <w:t xml:space="preserve"/>
      </w:r>
    </w:p>
    <w:p>
      <w:pPr>
        <w:spacing w:after="140"/>
        <w:jc w:val="both"/>
      </w:pPr>
      <w:r>
        <w:rPr>
          <w:rFonts w:ascii="Times New Roman" w:cs="Times New Roman" w:eastAsia="Times New Roman" w:hAnsi="Times New Roman"/>
          <w:b/>
          <w:bCs/>
          <w:color w:val="000000"/>
          <w:sz w:val="22"/>
          <w:szCs w:val="22"/>
        </w:rPr>
        <w:t xml:space="preserve">Reactivity proxy. </w:t>
      </w:r>
      <w:r>
        <w:rPr>
          <w:rFonts w:ascii="Times New Roman" w:cs="Times New Roman" w:eastAsia="Times New Roman" w:hAnsi="Times New Roman"/>
          <w:b w:val="false"/>
          <w:bCs w:val="false"/>
          <w:color w:val="000000"/>
          <w:sz w:val="22"/>
          <w:szCs w:val="22"/>
        </w:rPr>
        <w:t xml:space="preserve">Gasteiger charges on ANI-2x-optimised geometries are empirical. True quantum electrophilicity (xTB GFN2 HOMO-LUMO gap, Fukui index) would improve accuracy.</w:t>
      </w:r>
    </w:p>
    <w:p>
      <w:pPr>
        <w:spacing w:after="60"/>
      </w:pPr>
      <w:r>
        <w:t xml:space="preserve"/>
      </w:r>
    </w:p>
    <w:p>
      <w:pPr>
        <w:spacing w:after="140"/>
        <w:jc w:val="both"/>
      </w:pPr>
      <w:r>
        <w:rPr>
          <w:rFonts w:ascii="Times New Roman" w:cs="Times New Roman" w:eastAsia="Times New Roman" w:hAnsi="Times New Roman"/>
          <w:b/>
          <w:bCs/>
          <w:color w:val="000000"/>
          <w:sz w:val="22"/>
          <w:szCs w:val="22"/>
        </w:rPr>
        <w:t xml:space="preserve">Within-candidate ranking sensitivity. </w:t>
      </w:r>
      <w:r>
        <w:rPr>
          <w:rFonts w:ascii="Times New Roman" w:cs="Times New Roman" w:eastAsia="Times New Roman" w:hAnsi="Times New Roman"/>
          <w:b w:val="false"/>
          <w:bCs w:val="false"/>
          <w:color w:val="000000"/>
          <w:sz w:val="22"/>
          <w:szCs w:val="22"/>
        </w:rPr>
        <w:t xml:space="preserve">Top-3 set was stable in only 22% of 129 weight combinations. Precise ranking among candidates should be treated as directional, not definitive. The robust finding is candidate superiority over reference fixatives (71–100% of scenarios).</w:t>
      </w:r>
    </w:p>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7.  How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8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File</w:t>
            </w:r>
          </w:p>
        </w:tc>
        <w:tc>
          <w:tcPr>
            <w:tcW w:type="dxa" w:w="7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GPU</w:t>
            </w:r>
          </w:p>
        </w:tc>
        <w:tc>
          <w:tcPr>
            <w:tcW w:type="dxa" w:w="1000"/>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Runtime</w:t>
            </w:r>
          </w:p>
        </w:tc>
        <w:tc>
          <w:tcPr>
            <w:tcW w:type="dxa" w:w="3526"/>
            <w:tcBorders>
              <w:top w:val="single" w:color="C8C8C8" w:sz="1"/>
              <w:left w:val="single" w:color="C8C8C8" w:sz="1"/>
              <w:bottom w:val="single" w:color="C8C8C8" w:sz="1"/>
              <w:right w:val="single" w:color="C8C8C8" w:sz="1"/>
            </w:tcBorders>
            <w:shd w:fill="D6E4F0"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color w:val="0D3B6E"/>
                <w:sz w:val="19"/>
                <w:szCs w:val="19"/>
              </w:rPr>
              <w:t xml:space="preserve">Output</w:t>
            </w:r>
          </w:p>
        </w:tc>
      </w:tr>
      <w:tr>
        <w:tc>
          <w:tcPr>
            <w:tcW w:type="dxa" w:w="38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NB1_chemical_filter.py</w:t>
            </w:r>
          </w:p>
        </w:tc>
        <w:tc>
          <w:tcPr>
            <w:tcW w:type="dxa" w:w="7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No</w:t>
            </w:r>
          </w:p>
        </w:tc>
        <w:tc>
          <w:tcPr>
            <w:tcW w:type="dxa" w:w="1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5–10 min</w:t>
            </w:r>
          </w:p>
        </w:tc>
        <w:tc>
          <w:tcPr>
            <w:tcW w:type="dxa" w:w="35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NB1_final_shortlist.csv</w:t>
            </w:r>
          </w:p>
        </w:tc>
      </w:tr>
      <w:tr>
        <w:tc>
          <w:tcPr>
            <w:tcW w:type="dxa" w:w="38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NB2_reactivity_scoring_v2.py</w:t>
            </w:r>
          </w:p>
        </w:tc>
        <w:tc>
          <w:tcPr>
            <w:tcW w:type="dxa" w:w="7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Yes (T4)</w:t>
            </w:r>
          </w:p>
        </w:tc>
        <w:tc>
          <w:tcPr>
            <w:tcW w:type="dxa" w:w="1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~5 min</w:t>
            </w:r>
          </w:p>
        </w:tc>
        <w:tc>
          <w:tcPr>
            <w:tcW w:type="dxa" w:w="35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NB2_scored_v2.csv</w:t>
            </w:r>
          </w:p>
        </w:tc>
      </w:tr>
      <w:tr>
        <w:tc>
          <w:tcPr>
            <w:tcW w:type="dxa" w:w="38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NB3_molecular_docking_v2.py</w:t>
            </w:r>
          </w:p>
        </w:tc>
        <w:tc>
          <w:tcPr>
            <w:tcW w:type="dxa" w:w="7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No</w:t>
            </w:r>
          </w:p>
        </w:tc>
        <w:tc>
          <w:tcPr>
            <w:tcW w:type="dxa" w:w="1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~4 min</w:t>
            </w:r>
          </w:p>
        </w:tc>
        <w:tc>
          <w:tcPr>
            <w:tcW w:type="dxa" w:w="35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NB3_docking_results_v2.csv</w:t>
            </w:r>
          </w:p>
        </w:tc>
      </w:tr>
      <w:tr>
        <w:tc>
          <w:tcPr>
            <w:tcW w:type="dxa" w:w="38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NB4_sasa_epitope_v2.py</w:t>
            </w:r>
          </w:p>
        </w:tc>
        <w:tc>
          <w:tcPr>
            <w:tcW w:type="dxa" w:w="7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No</w:t>
            </w:r>
          </w:p>
        </w:tc>
        <w:tc>
          <w:tcPr>
            <w:tcW w:type="dxa" w:w="1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&lt;1 min</w:t>
            </w:r>
          </w:p>
        </w:tc>
        <w:tc>
          <w:tcPr>
            <w:tcW w:type="dxa" w:w="35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NB4_sasa_results_v2.csv</w:t>
            </w:r>
          </w:p>
        </w:tc>
      </w:tr>
      <w:tr>
        <w:tc>
          <w:tcPr>
            <w:tcW w:type="dxa" w:w="38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NB5_feasibility_v2.py</w:t>
            </w:r>
          </w:p>
        </w:tc>
        <w:tc>
          <w:tcPr>
            <w:tcW w:type="dxa" w:w="7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No</w:t>
            </w:r>
          </w:p>
        </w:tc>
        <w:tc>
          <w:tcPr>
            <w:tcW w:type="dxa" w:w="1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&lt;1 min</w:t>
            </w:r>
          </w:p>
        </w:tc>
        <w:tc>
          <w:tcPr>
            <w:tcW w:type="dxa" w:w="35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val="false"/>
                <w:bCs w:val="false"/>
                <w:color w:val="000000"/>
                <w:sz w:val="18"/>
                <w:szCs w:val="18"/>
              </w:rPr>
              <w:t xml:space="preserve">NB5_grand_final_v2.csv</w:t>
            </w:r>
          </w:p>
        </w:tc>
      </w:tr>
      <w:tr>
        <w:tc>
          <w:tcPr>
            <w:tcW w:type="dxa" w:w="38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NB4_NB5_with_references.py</w:t>
            </w:r>
          </w:p>
        </w:tc>
        <w:tc>
          <w:tcPr>
            <w:tcW w:type="dxa" w:w="7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No</w:t>
            </w:r>
          </w:p>
        </w:tc>
        <w:tc>
          <w:tcPr>
            <w:tcW w:type="dxa" w:w="1000"/>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&lt;1 min</w:t>
            </w:r>
          </w:p>
        </w:tc>
        <w:tc>
          <w:tcPr>
            <w:tcW w:type="dxa" w:w="3526"/>
            <w:tcBorders>
              <w:top w:val="single" w:color="C8C8C8" w:sz="1"/>
              <w:left w:val="single" w:color="C8C8C8" w:sz="1"/>
              <w:bottom w:val="single" w:color="C8C8C8" w:sz="1"/>
              <w:right w:val="single" w:color="C8C8C8" w:sz="1"/>
            </w:tcBorders>
            <w:shd w:fill="F4F4F4" w:val="clear"/>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NB5_grand_final_with_refs.csv</w:t>
            </w:r>
          </w:p>
        </w:tc>
      </w:tr>
      <w:tr>
        <w:tc>
          <w:tcPr>
            <w:tcW w:type="dxa" w:w="38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NB6_sensitivity_analysis.py</w:t>
            </w:r>
          </w:p>
        </w:tc>
        <w:tc>
          <w:tcPr>
            <w:tcW w:type="dxa" w:w="7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No</w:t>
            </w:r>
          </w:p>
        </w:tc>
        <w:tc>
          <w:tcPr>
            <w:tcW w:type="dxa" w:w="1000"/>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center"/>
            </w:pPr>
            <w:r>
              <w:rPr>
                <w:rFonts w:ascii="Times New Roman" w:cs="Times New Roman" w:eastAsia="Times New Roman" w:hAnsi="Times New Roman"/>
                <w:b w:val="false"/>
                <w:bCs w:val="false"/>
                <w:color w:val="000000"/>
                <w:sz w:val="19"/>
                <w:szCs w:val="19"/>
              </w:rPr>
              <w:t xml:space="preserve">&lt;1 min</w:t>
            </w:r>
          </w:p>
        </w:tc>
        <w:tc>
          <w:tcPr>
            <w:tcW w:type="dxa" w:w="3526"/>
            <w:tcBorders>
              <w:top w:val="single" w:color="C8C8C8" w:sz="1"/>
              <w:left w:val="single" w:color="C8C8C8" w:sz="1"/>
              <w:bottom w:val="single" w:color="C8C8C8" w:sz="1"/>
              <w:right w:val="single" w:color="C8C8C8" w:sz="1"/>
            </w:tcBorders>
            <w:tcMar>
              <w:top w:type="dxa" w:w="80"/>
              <w:left w:type="dxa" w:w="120"/>
              <w:bottom w:type="dxa" w:w="80"/>
              <w:right w:type="dxa" w:w="120"/>
            </w:tcMar>
          </w:tcPr>
          <w:p>
            <w:pPr>
              <w:spacing w:after="0" w:before="0"/>
              <w:jc w:val="left"/>
            </w:pPr>
            <w:r>
              <w:rPr>
                <w:rFonts w:ascii="Times New Roman" w:cs="Times New Roman" w:eastAsia="Times New Roman" w:hAnsi="Times New Roman"/>
                <w:b/>
                <w:bCs/>
                <w:color w:val="000000"/>
                <w:sz w:val="18"/>
                <w:szCs w:val="18"/>
              </w:rPr>
              <w:t xml:space="preserve">NB6_sensitivity_results_v2.csv ← weight justification</w:t>
            </w:r>
          </w:p>
        </w:tc>
      </w:tr>
    </w:tbl>
    <w:p>
      <w:pPr>
        <w:spacing w:after="60"/>
      </w:pPr>
      <w:r>
        <w:t xml:space="preserve"/>
      </w:r>
    </w:p>
    <w:p>
      <w:pPr>
        <w:spacing w:after="60"/>
        <w:jc w:val="both"/>
      </w:pPr>
      <w:r>
        <w:rPr>
          <w:rFonts w:ascii="Times New Roman" w:cs="Times New Roman" w:eastAsia="Times New Roman" w:hAnsi="Times New Roman"/>
          <w:color w:val="000000"/>
          <w:sz w:val="22"/>
          <w:szCs w:val="22"/>
        </w:rPr>
        <w:t xml:space="preserve">Install before NB3: !pip install -q biopython vina</w:t>
      </w:r>
    </w:p>
    <w:p>
      <w:pPr>
        <w:spacing w:after="80"/>
        <w:jc w:val="both"/>
      </w:pPr>
      <w:r>
        <w:rPr>
          <w:rFonts w:ascii="Times New Roman" w:cs="Times New Roman" w:eastAsia="Times New Roman" w:hAnsi="Times New Roman"/>
          <w:color w:val="000000"/>
          <w:sz w:val="22"/>
          <w:szCs w:val="22"/>
        </w:rPr>
        <w:t xml:space="preserve">Run in order: NB1 → NB2 → NB3 → NB4 → NB5 → NB4_NB5_with_references.py → NB6</w:t>
      </w:r>
    </w:p>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8.  Reproducibility</w:t>
      </w:r>
    </w:p>
    <w:p>
      <w:pPr>
        <w:pStyle w:val="ListParagraph"/>
        <w:numPr>
          <w:ilvl w:val="0"/>
          <w:numId w:val="2"/>
        </w:numPr>
        <w:spacing w:after="80"/>
      </w:pPr>
      <w:r>
        <w:rPr>
          <w:rFonts w:ascii="Times New Roman" w:cs="Times New Roman" w:eastAsia="Times New Roman" w:hAnsi="Times New Roman"/>
          <w:sz w:val="22"/>
          <w:szCs w:val="22"/>
        </w:rPr>
        <w:t xml:space="preserve">Random seed: 42 throughout all notebooks</w:t>
      </w:r>
    </w:p>
    <w:p>
      <w:pPr>
        <w:pStyle w:val="ListParagraph"/>
        <w:numPr>
          <w:ilvl w:val="0"/>
          <w:numId w:val="2"/>
        </w:numPr>
        <w:spacing w:after="80"/>
      </w:pPr>
      <w:r>
        <w:rPr>
          <w:rFonts w:ascii="Times New Roman" w:cs="Times New Roman" w:eastAsia="Times New Roman" w:hAnsi="Times New Roman"/>
          <w:sz w:val="22"/>
          <w:szCs w:val="22"/>
        </w:rPr>
        <w:t xml:space="preserve">PubChem REST API: accessed January–March 2025</w:t>
      </w:r>
    </w:p>
    <w:p>
      <w:pPr>
        <w:pStyle w:val="ListParagraph"/>
        <w:numPr>
          <w:ilvl w:val="0"/>
          <w:numId w:val="2"/>
        </w:numPr>
        <w:spacing w:after="80"/>
      </w:pPr>
      <w:r>
        <w:rPr>
          <w:rFonts w:ascii="Times New Roman" w:cs="Times New Roman" w:eastAsia="Times New Roman" w:hAnsi="Times New Roman"/>
          <w:sz w:val="22"/>
          <w:szCs w:val="22"/>
        </w:rPr>
        <w:t xml:space="preserve">PDB 1N8Z and 5X8M: downloaded February 2025</w:t>
      </w:r>
    </w:p>
    <w:p>
      <w:pPr>
        <w:pStyle w:val="ListParagraph"/>
        <w:numPr>
          <w:ilvl w:val="0"/>
          <w:numId w:val="2"/>
        </w:numPr>
        <w:spacing w:after="80"/>
      </w:pPr>
      <w:r>
        <w:rPr>
          <w:rFonts w:ascii="Times New Roman" w:cs="Times New Roman" w:eastAsia="Times New Roman" w:hAnsi="Times New Roman"/>
          <w:sz w:val="22"/>
          <w:szCs w:val="22"/>
        </w:rPr>
        <w:t xml:space="preserve">Python 3.12 · RDKit 2026.03.3 · TorchANI 2.2 · PyTorch 2.x (CUDA 11.8) · AutoDock Vina 1.2.7 · FreeSASA 2.x · BioPython 1.81</w:t>
      </w:r>
    </w:p>
    <w:p>
      <w:pPr>
        <w:pStyle w:val="ListParagraph"/>
        <w:numPr>
          <w:ilvl w:val="0"/>
          <w:numId w:val="2"/>
        </w:numPr>
        <w:spacing w:after="80"/>
      </w:pPr>
      <w:r>
        <w:rPr>
          <w:rFonts w:ascii="Times New Roman" w:cs="Times New Roman" w:eastAsia="Times New Roman" w:hAnsi="Times New Roman"/>
          <w:sz w:val="22"/>
          <w:szCs w:val="22"/>
        </w:rPr>
        <w:t xml:space="preserve">Platform: Google Colab · NVIDIA Tesla T4 (15.6 GB VRAM)</w:t>
      </w:r>
    </w:p>
    <w:p>
      <w:pPr>
        <w:pBdr>
          <w:bottom w:val="single" w:color="0D3B6E" w:sz="4" w:space="1"/>
        </w:pBdr>
        <w:spacing w:after="120" w:before="120"/>
      </w:pPr>
      <w:r>
        <w:t xml:space="preserve"/>
      </w:r>
    </w:p>
    <w:p>
      <w:pPr>
        <w:pStyle w:val="Heading1"/>
        <w:spacing w:after="160" w:before="400"/>
      </w:pPr>
      <w:r>
        <w:rPr>
          <w:rFonts w:ascii="Times New Roman" w:cs="Times New Roman" w:eastAsia="Times New Roman" w:hAnsi="Times New Roman"/>
          <w:b/>
          <w:bCs/>
          <w:caps/>
          <w:color w:val="0D3B6E"/>
          <w:sz w:val="28"/>
          <w:szCs w:val="28"/>
        </w:rPr>
        <w:t xml:space="preserve">9.  Citation</w:t>
      </w:r>
    </w:p>
    <w:p>
      <w:pPr>
        <w:spacing w:after="140"/>
        <w:jc w:val="both"/>
      </w:pPr>
      <w:r>
        <w:rPr>
          <w:rFonts w:ascii="Times New Roman" w:cs="Times New Roman" w:eastAsia="Times New Roman" w:hAnsi="Times New Roman"/>
          <w:color w:val="000000"/>
          <w:sz w:val="22"/>
          <w:szCs w:val="22"/>
        </w:rPr>
        <w:t xml:space="preserve">[Author list]. VanLang InSilico Pipeline: Virtual screening for organic dialdehyde candidates as formalin alternatives in IHC-compatible tissue fixation. Van Lang University, 2025. github.com/lamkienthanh92/VangLangInsilico</w:t>
      </w:r>
    </w:p>
    <w:p>
      <w:pPr>
        <w:spacing w:after="60"/>
      </w:pPr>
      <w:r>
        <w:t xml:space="preserve"/>
      </w:r>
    </w:p>
    <w:p>
      <w:pPr>
        <w:spacing w:after="140"/>
        <w:jc w:val="both"/>
      </w:pPr>
      <w:r>
        <w:rPr>
          <w:rFonts w:ascii="Times New Roman" w:cs="Times New Roman" w:eastAsia="Times New Roman" w:hAnsi="Times New Roman"/>
          <w:color w:val="000000"/>
          <w:sz w:val="22"/>
          <w:szCs w:val="22"/>
        </w:rPr>
        <w:t xml:space="preserve">Key tools: RDKit (Landrum, 2006); AutoDock Vina 1.2.0 (Eberhardt et al., J Chem Inf Model 2021;61:3891); TorchANI ANI-2x (Devereux et al., J Chem Theory Comput 2020;16:4192); FreeSASA (Mitternacht, F1000Research 2016;5:189); Schiff base mechanism (Tayri-Wilk et al., Nat Commun 2020;11:3128); glyoxal fixation (Richter et al., EMBO J 2018;37:139).</w:t>
      </w:r>
    </w:p>
    <w:p>
      <w:pPr>
        <w:pBdr>
          <w:bottom w:val="single" w:color="0D3B6E" w:sz="4" w:space="1"/>
        </w:pBdr>
        <w:spacing w:after="120" w:before="120"/>
      </w:pPr>
      <w:r>
        <w:t xml:space="preserve"/>
      </w:r>
    </w:p>
    <w:p>
      <w:pPr>
        <w:spacing w:after="0" w:before="160"/>
        <w:jc w:val="center"/>
      </w:pPr>
      <w:r>
        <w:rPr>
          <w:rFonts w:ascii="Times New Roman" w:cs="Times New Roman" w:eastAsia="Times New Roman" w:hAnsi="Times New Roman"/>
          <w:color w:val="555555"/>
          <w:sz w:val="17"/>
          <w:szCs w:val="17"/>
        </w:rPr>
        <w:t xml:space="preserve">MIT License  ·  Van Lang University 2025  ·  All findings require experimental validation.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aps/>
      <w:color w:val="0D3B6E"/>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D3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2026-06-27T17:37:20.039Z</dcterms:created>
  <dcterms:modified xsi:type="dcterms:W3CDTF">2026-06-27T17:37:20.051Z</dcterms:modified>
</cp:coreProperties>
</file>

<file path=docProps/custom.xml><?xml version="1.0" encoding="utf-8"?>
<Properties xmlns="http://schemas.openxmlformats.org/officeDocument/2006/custom-properties" xmlns:vt="http://schemas.openxmlformats.org/officeDocument/2006/docPropsVTypes"/>
</file>