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D3B6E"/>
          <w:sz w:val="52"/>
          <w:szCs w:val="52"/>
        </w:rPr>
        <w:t xml:space="preserve">Results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VanLang InSilico Pipeline: Virtual Screening for Organic Dialdehyde Candidates as Formalin Alternatives in IHC-Compatible Tissue Fixation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Department of Medical Laboratory Technology  ·  Van Lang University  ·  Ho Chi Minh City, Vietnam  ·  2025</w:t>
      </w:r>
    </w:p>
    <w:p>
      <w:pPr>
        <w:pBdr>
          <w:bottom w:val="single" w:color="0D3B6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D3B6E"/>
          <w:sz w:val="24"/>
          <w:szCs w:val="24"/>
        </w:rPr>
        <w:t xml:space="preserve">Table 1.  Compound Screening Funnel (NB1)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Of 1,007 CIDs retrieved from PubChem by Tanimoto similarity search (threshold ≥ 70%, nine seed dialdehyde compounds) and keyword query, 154 single-molecule compounds passed all twelve sequential chemical and ADMET filters. The dominant attrition steps were LogP &gt; 1.0 (−297 compounds) and fewer than two electrophile groups (−293 compounds). PAINS catalogs A/B/C were applied; the Brenk catalog was excluded as it flags aldehyde groups by design and would non-selectively eliminate the compound class of interest.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Filter step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Criterion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n remaining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n removed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Raw PubChem query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Tanimoto ≥ 70% (9 seeds) + keyword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1,007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F1: MW ≤ 200 Da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Small molecule; tissue-diffusible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877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130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F2: LogP ≤ 1.0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Water-soluble fixative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580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297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F3: ≥ 2 electrophile groups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Bifunctional crosslinker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287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293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F4: No enone / acrolein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Exclude Michael acceptors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285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F5: No epoxide / peroxide / nitroso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Dangerous reactive groups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281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F6: No PAINS (A/B/C)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Pan-assay interference filter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248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FA0: No organometallic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Biological compatibility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217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FA0b: No isotope / radical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Stable structure only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209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FA1: No mutagenic alerts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OECD 471 structural proxy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193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FA2: MW ≥ 60 Da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Low volatility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191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Dedup + mixture exclusion</w:t>
            </w:r>
          </w:p>
        </w:tc>
        <w:tc>
          <w:tcPr>
            <w:tcW w:type="dxa" w:w="2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Unique single-molecule only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154</w:t>
            </w:r>
          </w:p>
        </w:tc>
        <w:tc>
          <w:tcPr>
            <w:tcW w:type="dxa" w:w="121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37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Category distribution: dialdehyde aliphatic 75.4% (n=116); fluoro-dialdehyde 17.3% (n=27); cyclic 7.3% (n=11). Median MW 114.1 Da [IQR 100.1–130.1]; median LogP 0.14 [IQR −0.41–0.55].</w:t>
      </w:r>
    </w:p>
    <w:p>
      <w:pPr>
        <w:pBdr>
          <w:bottom w:val="single" w:color="0D3B6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D3B6E"/>
          <w:sz w:val="24"/>
          <w:szCs w:val="24"/>
        </w:rPr>
        <w:t xml:space="preserve">Table 2.  NB2 Reactivity Scoring — Reference Validation and Top 30 Selection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TorchANI ANI-2x geometry optimisation was performed on NVIDIA Tesla T4 GPU (2.0 s per compound), with successful optimisation for 147 of 154 compounds (95.5%); seven compounds containing bromine or iodine fell back to Gasteiger-only scoring. Gasteiger partial charges were computed on ANI-2x-optimised geometries. Glutaraldehyde scored 84.46 — the highest among reference compounds — confirming directional validity of the protocol.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Compound / CID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SMILES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MW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Elec proxy</w:t>
            </w:r>
          </w:p>
        </w:tc>
        <w:tc>
          <w:tcPr>
            <w:tcW w:type="dxa" w:w="9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NB2 score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Reference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Formalin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C=O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30.0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10.64</w:t>
            </w:r>
          </w:p>
        </w:tc>
        <w:tc>
          <w:tcPr>
            <w:tcW w:type="dxa" w:w="9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67.49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Reference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Glutaraldehyde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O=CCCCC=O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100.1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11.95</w:t>
            </w:r>
          </w:p>
        </w:tc>
        <w:tc>
          <w:tcPr>
            <w:tcW w:type="dxa" w:w="9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84.46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Reference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Succinaldehyde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O=CCCC=O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86.1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11.99</w:t>
            </w:r>
          </w:p>
        </w:tc>
        <w:tc>
          <w:tcPr>
            <w:tcW w:type="dxa" w:w="9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84.27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Reference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Glyoxal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O=CC=O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58.0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18.20</w:t>
            </w:r>
          </w:p>
        </w:tc>
        <w:tc>
          <w:tcPr>
            <w:tcW w:type="dxa" w:w="9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53.53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#1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70620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O=CCCCCC=O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114.1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11.95</w:t>
            </w:r>
          </w:p>
        </w:tc>
        <w:tc>
          <w:tcPr>
            <w:tcW w:type="dxa" w:w="9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84.46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#4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87944034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O=CCCC#CCCC=O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138.2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12.04</w:t>
            </w:r>
          </w:p>
        </w:tc>
        <w:tc>
          <w:tcPr>
            <w:tcW w:type="dxa" w:w="9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84.05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#6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101171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CC(C=O)CCC=O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114.1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12.09</w:t>
            </w:r>
          </w:p>
        </w:tc>
        <w:tc>
          <w:tcPr>
            <w:tcW w:type="dxa" w:w="9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83.85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#7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91427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CCC(C=O)CC=O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114.1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12.16</w:t>
            </w:r>
          </w:p>
        </w:tc>
        <w:tc>
          <w:tcPr>
            <w:tcW w:type="dxa" w:w="9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83.57</w:t>
            </w:r>
          </w:p>
        </w:tc>
      </w:tr>
      <w:tr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#9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80473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CC(CC=O)CC=O</w:t>
            </w:r>
          </w:p>
        </w:tc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114.1</w:t>
            </w:r>
          </w:p>
        </w:tc>
        <w:tc>
          <w:tcPr>
            <w:tcW w:type="dxa" w:w="1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11.98</w:t>
            </w:r>
          </w:p>
        </w:tc>
        <w:tc>
          <w:tcPr>
            <w:tcW w:type="dxa" w:w="9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84.34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Full top-30 list available in NB2_scored_v2.csv. Selected rows shown above for illustration; blue rows are candidates that appear in the Grand Final top 10.</w:t>
      </w:r>
    </w:p>
    <w:p>
      <w:pPr>
        <w:pBdr>
          <w:bottom w:val="single" w:color="0D3B6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D3B6E"/>
          <w:sz w:val="24"/>
          <w:szCs w:val="24"/>
        </w:rPr>
        <w:t xml:space="preserve">Table 3.  Molecular Docking — Candidates and Reference Compounds (NB3)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AutoDock Vina 1.2.7 was used to dock all 30 candidates and the three dockable reference compounds against HER2 and PD-L1. All 30/30 runs converged. Binding affinities represent relative surface-proximity indices at the lysine NZ region; formaldehyde was not docked owing to its single-carbon character and predicted non-productive surface interaction at the grid dimensions used.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Compound / CID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SMILES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HER2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PDL1</w:t>
            </w:r>
          </w:p>
        </w:tc>
        <w:tc>
          <w:tcPr>
            <w:tcW w:type="dxa" w:w="17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Mean (kcal/mol)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Glutaraldehyde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O=CCCCC=O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−3.06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−3.21</w:t>
            </w:r>
          </w:p>
        </w:tc>
        <w:tc>
          <w:tcPr>
            <w:tcW w:type="dxa" w:w="17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−3.14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Succinaldehyde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O=CCCC=O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−2.85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−2.62</w:t>
            </w:r>
          </w:p>
        </w:tc>
        <w:tc>
          <w:tcPr>
            <w:tcW w:type="dxa" w:w="17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−2.74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Glyoxal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O=CC=O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−2.07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−1.99</w:t>
            </w:r>
          </w:p>
        </w:tc>
        <w:tc>
          <w:tcPr>
            <w:tcW w:type="dxa" w:w="17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−2.03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#1 (Grand)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CID 87944034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O=CCCC#CCCC=O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−4.15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−4.28</w:t>
            </w:r>
          </w:p>
        </w:tc>
        <w:tc>
          <w:tcPr>
            <w:tcW w:type="dxa" w:w="17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−4.21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#2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CID 91427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CCC(C=O)CC=O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−3.66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−3.76</w:t>
            </w:r>
          </w:p>
        </w:tc>
        <w:tc>
          <w:tcPr>
            <w:tcW w:type="dxa" w:w="17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−3.71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#3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CID 85655730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O=CCCC(=O)CCC=O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−3.70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−3.62</w:t>
            </w:r>
          </w:p>
        </w:tc>
        <w:tc>
          <w:tcPr>
            <w:tcW w:type="dxa" w:w="17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−3.66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#5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12484446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CCOC(CC=O)CC=O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−3.86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−3.61</w:t>
            </w:r>
          </w:p>
        </w:tc>
        <w:tc>
          <w:tcPr>
            <w:tcW w:type="dxa" w:w="17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−3.74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#8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101171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CC(C=O)CCC=O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−3.38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−3.49</w:t>
            </w:r>
          </w:p>
        </w:tc>
        <w:tc>
          <w:tcPr>
            <w:tcW w:type="dxa" w:w="17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−3.44</w:t>
            </w:r>
          </w:p>
        </w:tc>
      </w:tr>
      <w:tr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#10</w:t>
            </w:r>
          </w:p>
        </w:tc>
        <w:tc>
          <w:tcPr>
            <w:tcW w:type="dxa" w:w="2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70620</w:t>
            </w:r>
          </w:p>
        </w:tc>
        <w:tc>
          <w:tcPr>
            <w:tcW w:type="dxa" w:w="2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7"/>
                <w:szCs w:val="17"/>
              </w:rPr>
              <w:t xml:space="preserve">O=CCCCCC=O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−3.37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−3.40</w:t>
            </w:r>
          </w:p>
        </w:tc>
        <w:tc>
          <w:tcPr>
            <w:tcW w:type="dxa" w:w="172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−3.39</w:t>
            </w:r>
          </w:p>
        </w:tc>
      </w:tr>
    </w:tbl>
    <w:p>
      <w:pPr>
        <w:pBdr>
          <w:bottom w:val="single" w:color="0D3B6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D3B6E"/>
          <w:sz w:val="24"/>
          <w:szCs w:val="24"/>
        </w:rPr>
        <w:t xml:space="preserve">Table 4.  Tissue Feasibility — Candidates and Reference Compounds (NB5)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Three feasibility modules applied uniformly to candidates and references. Penetration rate modelled via Wilke-Chang framework calibrated against glutaraldehyde literature value (0.36–0.40 mm/h; model: 0.365 mm/h). CAP thresholds: Excellent ≥ 0.417 mm/h, Good ≥ 0.208 mm/h, Minimum ≥ 0.104 mm/h. Fixation kinetics (k_vs_glut) and stability are directional indicators; see README Section 6 for declared limitations.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Compound / CID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MW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Pen rate (mm/h)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CAP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k vs glut.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Stability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NB5 score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Ref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Formalin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30.0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0.805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Excellent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0.543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41.3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58.28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Ref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Glyoxal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58.0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0.470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Excellent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2.713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45.0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64.45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Ref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Succinaldehyde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86.1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0.369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1.008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42.5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47.79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Ref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Glutaraldehyde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100.1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0.365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1.000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44.0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47.91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Cand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CID 87944034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138.2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0.324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1.019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46.5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47.18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Cand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CID 91427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114.1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0.354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1.043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51.1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50.33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Cand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CID 85655730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142.2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0.263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1.351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43.7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49.74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Cand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10953466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114.1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0.363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1.104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51.1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51.89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Cand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12484446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144.2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0.278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1.054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46.8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45.83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Cand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21190979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114.1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0.354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1.073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51.1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50.88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Cand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22174207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142.2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0.256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1.260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43.7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47.72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Cand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101171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114.1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0.354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1.029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51.1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50.07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Cand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80473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114.1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0.354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1.005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45.1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47.84</w:t>
            </w:r>
          </w:p>
        </w:tc>
      </w:tr>
      <w:tr>
        <w:tc>
          <w:tcPr>
            <w:tcW w:type="dxa" w:w="7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9"/>
                <w:szCs w:val="19"/>
              </w:rPr>
              <w:t xml:space="preserve">Cand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CID 70620</w:t>
            </w:r>
          </w:p>
        </w:tc>
        <w:tc>
          <w:tcPr>
            <w:tcW w:type="dxa" w:w="6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114.1</w:t>
            </w:r>
          </w:p>
        </w:tc>
        <w:tc>
          <w:tcPr>
            <w:tcW w:type="dxa" w:w="10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0.363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1.000</w:t>
            </w:r>
          </w:p>
        </w:tc>
        <w:tc>
          <w:tcPr>
            <w:tcW w:type="dxa" w:w="8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45.1</w:t>
            </w:r>
          </w:p>
        </w:tc>
        <w:tc>
          <w:tcPr>
            <w:tcW w:type="dxa" w:w="11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48.16</w:t>
            </w:r>
          </w:p>
        </w:tc>
      </w:tr>
    </w:tbl>
    <w:p>
      <w:pPr>
        <w:pBdr>
          <w:bottom w:val="single" w:color="0D3B6E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D3B6E"/>
          <w:sz w:val="24"/>
          <w:szCs w:val="24"/>
        </w:rPr>
        <w:t xml:space="preserve">Table 5.  Grand Final Unified Ranking — 10 Candidates and 4 Reference Compounds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Grand Score = Docking × 0.58 + NB5 × 0.34 + NB2 × 0.08.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Weights derived from CV discriminative power analysis (NB6): Docking CV=6.7%, NB5 CV=3.9%, NB2 CV=0.9%. CV rank order (Docking &gt; NB5 &gt; NB2) is consistent with mechanistic priority (Step 1 spatial constraint &gt; clinical feasibility &gt; chemical reactivity). All 10 candidate compounds ranked above all 4 reference fixatives. Formalin Grand Score computed from NB5 and NB2 only (no docking performed). Amber rows = reference compounds.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Rank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Compound / CID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NB2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Docking mean (kcal/mol)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NB5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Grand Score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vs Glutaraldehyde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CID 87944034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84.05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−4.214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47.18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47.21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9"/>
                <w:szCs w:val="19"/>
              </w:rPr>
              <w:t xml:space="preserve">+5.98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6"/>
                <w:szCs w:val="16"/>
              </w:rPr>
              <w:t xml:space="preserve">Candidate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CID 91427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83.57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−3.710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50.33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45.32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9"/>
                <w:szCs w:val="19"/>
              </w:rPr>
              <w:t xml:space="preserve">+4.09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6"/>
                <w:szCs w:val="16"/>
              </w:rPr>
              <w:t xml:space="preserve">Candidate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CID 85655730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82.39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−3.658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49.74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44.72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9"/>
                <w:szCs w:val="19"/>
              </w:rPr>
              <w:t xml:space="preserve">+3.49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6"/>
                <w:szCs w:val="16"/>
              </w:rPr>
              <w:t xml:space="preserve">Candidate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CID 10953466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82.37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−3.482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51.89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44.43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9"/>
                <w:szCs w:val="19"/>
              </w:rPr>
              <w:t xml:space="preserve">+3.20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6"/>
                <w:szCs w:val="16"/>
              </w:rPr>
              <w:t xml:space="preserve">Candidate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CID 12484446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83.36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−3.735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45.83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43.91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9"/>
                <w:szCs w:val="19"/>
              </w:rPr>
              <w:t xml:space="preserve">+2.68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6"/>
                <w:szCs w:val="16"/>
              </w:rPr>
              <w:t xml:space="preserve">Candidate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CID 21190979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82.98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−3.433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50.88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43.85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9"/>
                <w:szCs w:val="19"/>
              </w:rPr>
              <w:t xml:space="preserve">+2.62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6"/>
                <w:szCs w:val="16"/>
              </w:rPr>
              <w:t xml:space="preserve">Candidate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CID 22174207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83.86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−3.593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47.72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43.77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9"/>
                <w:szCs w:val="19"/>
              </w:rPr>
              <w:t xml:space="preserve">+2.54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6"/>
                <w:szCs w:val="16"/>
              </w:rPr>
              <w:t xml:space="preserve">Candidate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CID 101171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83.85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−3.436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50.07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43.66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9"/>
                <w:szCs w:val="19"/>
              </w:rPr>
              <w:t xml:space="preserve">+2.43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6"/>
                <w:szCs w:val="16"/>
              </w:rPr>
              <w:t xml:space="preserve">Candidate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CID 80473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84.34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−3.531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47.84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43.49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9"/>
                <w:szCs w:val="19"/>
              </w:rPr>
              <w:t xml:space="preserve">+2.26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6"/>
                <w:szCs w:val="16"/>
              </w:rPr>
              <w:t xml:space="preserve">Candidate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CID 70620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84.46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−3.387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48.16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42.78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55724"/>
                <w:sz w:val="19"/>
                <w:szCs w:val="19"/>
              </w:rPr>
              <w:t xml:space="preserve">+1.55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D3B6E"/>
                <w:sz w:val="16"/>
                <w:szCs w:val="16"/>
              </w:rPr>
              <w:t xml:space="preserve">Candidate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Glutaraldehyde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84.46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−3.135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47.91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41.23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D3C00"/>
                <w:sz w:val="16"/>
                <w:szCs w:val="16"/>
              </w:rPr>
              <w:t xml:space="preserve">Reference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Succinaldehyde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84.27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−2.735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47.79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38.85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B0000"/>
                <w:sz w:val="19"/>
                <w:szCs w:val="19"/>
              </w:rPr>
              <w:t xml:space="preserve">−2.38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D3C00"/>
                <w:sz w:val="16"/>
                <w:szCs w:val="16"/>
              </w:rPr>
              <w:t xml:space="preserve">Reference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Glyoxal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53.53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−2.030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64.45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37.97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B0000"/>
                <w:sz w:val="19"/>
                <w:szCs w:val="19"/>
              </w:rPr>
              <w:t xml:space="preserve">−3.26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D3C00"/>
                <w:sz w:val="16"/>
                <w:szCs w:val="16"/>
              </w:rPr>
              <w:t xml:space="preserve">Reference</w:t>
            </w:r>
          </w:p>
        </w:tc>
      </w:tr>
      <w:tr>
        <w:tc>
          <w:tcPr>
            <w:tcW w:type="dxa" w:w="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9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8"/>
                <w:szCs w:val="18"/>
              </w:rPr>
              <w:t xml:space="preserve">Formalin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67.49</w:t>
            </w:r>
          </w:p>
        </w:tc>
        <w:tc>
          <w:tcPr>
            <w:tcW w:type="dxa" w:w="12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7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58.28</w:t>
            </w:r>
          </w:p>
        </w:tc>
        <w:tc>
          <w:tcPr>
            <w:tcW w:type="dxa" w:w="95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D3C00"/>
                <w:sz w:val="19"/>
                <w:szCs w:val="19"/>
              </w:rPr>
              <w:t xml:space="preserve">25.21</w:t>
            </w:r>
          </w:p>
        </w:tc>
        <w:tc>
          <w:tcPr>
            <w:tcW w:type="dxa" w:w="11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8B0000"/>
                <w:sz w:val="19"/>
                <w:szCs w:val="19"/>
              </w:rPr>
              <w:t xml:space="preserve">−16.02</w:t>
            </w:r>
          </w:p>
        </w:tc>
        <w:tc>
          <w:tcPr>
            <w:tcW w:type="dxa" w:w="776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D3C00"/>
                <w:sz w:val="16"/>
                <w:szCs w:val="16"/>
              </w:rPr>
              <w:t xml:space="preserve">Reference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Succinaldehyde (rank 12; Grand Score 38.85) is recommended as the first wet laboratory candidate despite its position, owing to commercial availability, lowest MW in the dialdehyde class (86.1 Da; predicted penetration 0.369 mm/h), and published IHC compatibility data (Richter et al., 2018; Criswell et al., 2022). CID 70620 (hexanedial; rank 10) is the highest-ranked candidate with confirmed commercial availability (Sigma-Aldrich).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D3B6E"/>
          <w:sz w:val="24"/>
          <w:szCs w:val="24"/>
        </w:rPr>
        <w:t xml:space="preserve">Table 6.  Weight Sensitivity Analysis Summary (NB6)</w:t>
      </w:r>
    </w:p>
    <w:p>
      <w:pPr>
        <w:spacing w:after="1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To validate that the Grand Score weights are not arbitrary, two analyses were performed: (1) CV-based discriminative power showing that Docking has highest variation among candidates (CV=6.7%), directly justifying its highest weight; (2) robustness test across 129 weight combinations confirming that candidate superiority over glutaraldehyde is maintained in 71–100% of scenarios regardless of exact weight choice.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Metric</w:t>
            </w:r>
          </w:p>
        </w:tc>
        <w:tc>
          <w:tcPr>
            <w:tcW w:type="dxa" w:w="2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Value</w:t>
            </w:r>
          </w:p>
        </w:tc>
        <w:tc>
          <w:tcPr>
            <w:tcW w:type="dxa" w:w="3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D3B6E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Weight combinations tested</w:t>
            </w:r>
          </w:p>
        </w:tc>
        <w:tc>
          <w:tcPr>
            <w:tcW w:type="dxa" w:w="2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129</w:t>
            </w:r>
          </w:p>
        </w:tc>
        <w:tc>
          <w:tcPr>
            <w:tcW w:type="dxa" w:w="3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Each component 10–75%, step 5%</w:t>
            </w:r>
          </w:p>
        </w:tc>
      </w:tr>
      <w:tr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Docking discriminative power (CV)</w:t>
            </w:r>
          </w:p>
        </w:tc>
        <w:tc>
          <w:tcPr>
            <w:tcW w:type="dxa" w:w="2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6.7%</w:t>
            </w:r>
          </w:p>
        </w:tc>
        <w:tc>
          <w:tcPr>
            <w:tcW w:type="dxa" w:w="3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Highest → weight 0.58 justified</w:t>
            </w:r>
          </w:p>
        </w:tc>
      </w:tr>
      <w:tr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NB5 discriminative power (CV)</w:t>
            </w:r>
          </w:p>
        </w:tc>
        <w:tc>
          <w:tcPr>
            <w:tcW w:type="dxa" w:w="2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3.9%</w:t>
            </w:r>
          </w:p>
        </w:tc>
        <w:tc>
          <w:tcPr>
            <w:tcW w:type="dxa" w:w="3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Second → weight 0.34 justified</w:t>
            </w:r>
          </w:p>
        </w:tc>
      </w:tr>
      <w:tr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NB2 discriminative power (CV)</w:t>
            </w:r>
          </w:p>
        </w:tc>
        <w:tc>
          <w:tcPr>
            <w:tcW w:type="dxa" w:w="2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0.9%</w:t>
            </w:r>
          </w:p>
        </w:tc>
        <w:tc>
          <w:tcPr>
            <w:tcW w:type="dxa" w:w="3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Lowest → weight 0.08 justified</w:t>
            </w:r>
          </w:p>
        </w:tc>
      </w:tr>
      <w:tr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CV rank order</w:t>
            </w:r>
          </w:p>
        </w:tc>
        <w:tc>
          <w:tcPr>
            <w:tcW w:type="dxa" w:w="2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Docking &gt; NB5 &gt; NB2</w:t>
            </w:r>
          </w:p>
        </w:tc>
        <w:tc>
          <w:tcPr>
            <w:tcW w:type="dxa" w:w="3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Consistent with mechanistic priority ✅</w:t>
            </w:r>
          </w:p>
        </w:tc>
      </w:tr>
      <w:tr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Top-1 rank stable</w:t>
            </w:r>
          </w:p>
        </w:tc>
        <w:tc>
          <w:tcPr>
            <w:tcW w:type="dxa" w:w="2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71.3% of scenarios</w:t>
            </w:r>
          </w:p>
        </w:tc>
        <w:tc>
          <w:tcPr>
            <w:tcW w:type="dxa" w:w="3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Moderate — CID 87944034 dominates docking-heavy scenarios</w:t>
            </w:r>
          </w:p>
        </w:tc>
      </w:tr>
      <w:tr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Top-3 set stable</w:t>
            </w:r>
          </w:p>
        </w:tc>
        <w:tc>
          <w:tcPr>
            <w:tcW w:type="dxa" w:w="2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21.7% of scenarios</w:t>
            </w:r>
          </w:p>
        </w:tc>
        <w:tc>
          <w:tcPr>
            <w:tcW w:type="dxa" w:w="3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Low — precise ordering is weight-sensitive; treat as directional</w:t>
            </w:r>
          </w:p>
        </w:tc>
      </w:tr>
      <w:tr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Mean Spearman ρ</w:t>
            </w:r>
          </w:p>
        </w:tc>
        <w:tc>
          <w:tcPr>
            <w:tcW w:type="dxa" w:w="2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0.785</w:t>
            </w:r>
          </w:p>
        </w:tc>
        <w:tc>
          <w:tcPr>
            <w:tcW w:type="dxa" w:w="3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Moderate overall rank correlation with baseline</w:t>
            </w:r>
          </w:p>
        </w:tc>
      </w:tr>
      <w:tr>
        <w:tc>
          <w:tcPr>
            <w:tcW w:type="dxa" w:w="35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9"/>
                <w:szCs w:val="19"/>
              </w:rPr>
              <w:t xml:space="preserve">Candidates above Glutaraldehyde</w:t>
            </w:r>
          </w:p>
        </w:tc>
        <w:tc>
          <w:tcPr>
            <w:tcW w:type="dxa" w:w="2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71–100% of scenarios</w:t>
            </w:r>
          </w:p>
        </w:tc>
        <w:tc>
          <w:tcPr>
            <w:tcW w:type="dxa" w:w="3263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PRIMARY ROBUST FINDING</w:t>
            </w:r>
          </w:p>
        </w:tc>
      </w:tr>
    </w:tbl>
    <w:p>
      <w:pPr>
        <w:pBdr>
          <w:bottom w:val="single" w:color="0D3B6E" w:sz="4" w:space="1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Times New Roman" w:cs="Times New Roman" w:eastAsia="Times New Roman" w:hAnsi="Times New Roman"/>
          <w:color w:val="555555"/>
          <w:sz w:val="17"/>
          <w:szCs w:val="17"/>
        </w:rPr>
        <w:t xml:space="preserve">Van Lang University  ·  2025  ·  All findings are in silico predictions requiring experimental validation.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Times New Roman" w:cs="Times New Roman" w:eastAsia="Times New Roman" w:hAnsi="Times New Roman"/>
      <w:b/>
      <w:bCs/>
      <w:caps/>
      <w:color w:val="0D3B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D3B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2026-06-27T17:37:20.308Z</dcterms:created>
  <dcterms:modified xsi:type="dcterms:W3CDTF">2026-06-27T17:37:20.308Z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