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>
          <w:b w:val="1"/>
          <w:color w:val="434343"/>
          <w:u w:val="single"/>
        </w:rPr>
      </w:pPr>
      <w:bookmarkStart w:colFirst="0" w:colLast="0" w:name="_q6rn1ylqma7b" w:id="0"/>
      <w:bookmarkEnd w:id="0"/>
      <w:r w:rsidDel="00000000" w:rsidR="00000000" w:rsidRPr="00000000">
        <w:rPr>
          <w:b w:val="1"/>
          <w:color w:val="434343"/>
          <w:u w:val="single"/>
          <w:rtl w:val="0"/>
        </w:rPr>
        <w:t xml:space="preserve">Επεμβάσεις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Εξειδικευμένος σε χειρουργικές τεχνικές ελαχίστης παρέμβασης στην ορθοπεδική και τραυματολογία.</w:t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Χειρουργική εμπειρία 30 χρόνων σε ορθοπεδικές κλινικές τριτοβάθμιων νοσηλευτικών ιδρυμάτων.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Μεταξύ άλλων οι επεμβάσεις που πραγματοποιούνται είναι:</w:t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Ολική αρθροπλαστική ισχίου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Ολική αρθροπλαστική γόνατος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Κατάγματα οστών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Επιπλοκές καταγμάτων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