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6890" w:rsidRDefault="007C6890">
      <w:pPr>
        <w:pStyle w:val="awTB00chTitle"/>
      </w:pPr>
      <w:r>
        <w:rPr>
          <w:sz w:val="44"/>
        </w:rPr>
        <w:t>Chapter 7</w:t>
      </w:r>
      <w:r w:rsidR="00956986">
        <w:rPr>
          <w:sz w:val="44"/>
        </w:rPr>
        <w:br/>
      </w:r>
      <w:r>
        <w:t>Drivers of Growth: Technology,</w:t>
      </w:r>
      <w:r w:rsidR="00532B8F">
        <w:t xml:space="preserve"> </w:t>
      </w:r>
      <w:r>
        <w:t>Policy, and Institutions</w:t>
      </w:r>
    </w:p>
    <w:p w:rsidR="007C6890" w:rsidRDefault="007C6890">
      <w:pPr>
        <w:pStyle w:val="awTB01questionHead"/>
        <w:spacing w:before="0"/>
      </w:pPr>
      <w:r>
        <w:sym w:font="Wingdings" w:char="F06E"/>
      </w:r>
      <w:r>
        <w:t> </w:t>
      </w:r>
      <w:r>
        <w:t>Chapter Outline, Overview, and Teaching Tips</w:t>
      </w:r>
    </w:p>
    <w:p w:rsidR="007C6890" w:rsidRDefault="007C6890">
      <w:pPr>
        <w:pStyle w:val="H2"/>
        <w:spacing w:before="0"/>
      </w:pPr>
      <w:r>
        <w:t>Chapter Outline</w:t>
      </w:r>
    </w:p>
    <w:p w:rsidR="007C6890" w:rsidRDefault="007C6890">
      <w:pPr>
        <w:pStyle w:val="CO"/>
        <w:spacing w:before="0"/>
      </w:pPr>
      <w:r>
        <w:t>Technology as a Production Input</w:t>
      </w:r>
    </w:p>
    <w:p w:rsidR="007C6890" w:rsidRDefault="007C6890">
      <w:pPr>
        <w:pStyle w:val="CO2"/>
      </w:pPr>
      <w:r>
        <w:t>Technology Versus Conventional Production Inputs</w:t>
      </w:r>
    </w:p>
    <w:p w:rsidR="007C6890" w:rsidRDefault="007C6890">
      <w:pPr>
        <w:pStyle w:val="CO2"/>
      </w:pPr>
      <w:r>
        <w:t>Technology and Excludability</w:t>
      </w:r>
    </w:p>
    <w:p w:rsidR="007C6890" w:rsidRDefault="007C6890">
      <w:pPr>
        <w:pStyle w:val="CO"/>
      </w:pPr>
      <w:r>
        <w:t>Policies to Promote Productivity</w:t>
      </w:r>
    </w:p>
    <w:p w:rsidR="007C6890" w:rsidRDefault="007C6890">
      <w:pPr>
        <w:pStyle w:val="CO2"/>
      </w:pPr>
      <w:r>
        <w:t>Building Infrastructure</w:t>
      </w:r>
    </w:p>
    <w:p w:rsidR="007C6890" w:rsidRDefault="007C6890">
      <w:pPr>
        <w:pStyle w:val="CO2"/>
        <w:spacing w:after="0"/>
        <w:ind w:left="374"/>
      </w:pPr>
      <w:r>
        <w:t>Increasing Human Capital</w:t>
      </w:r>
    </w:p>
    <w:p w:rsidR="007C6890" w:rsidRDefault="007C6890" w:rsidP="00F101C9">
      <w:pPr>
        <w:pStyle w:val="CO1"/>
        <w:spacing w:before="60" w:after="0"/>
        <w:rPr>
          <w:i/>
          <w:iCs/>
        </w:rPr>
      </w:pPr>
      <w:r>
        <w:rPr>
          <w:i/>
          <w:iCs/>
        </w:rPr>
        <w:t>Policy and Practice: Government Measures to Increase Human Capital</w:t>
      </w:r>
    </w:p>
    <w:p w:rsidR="007C6890" w:rsidRDefault="007C6890">
      <w:pPr>
        <w:pStyle w:val="CO2"/>
      </w:pPr>
      <w:r>
        <w:t>Encouraging Research and Development</w:t>
      </w:r>
    </w:p>
    <w:p w:rsidR="007C6890" w:rsidRDefault="007C6890">
      <w:pPr>
        <w:pStyle w:val="CO"/>
      </w:pPr>
      <w:r>
        <w:t>Institutions and Property Rights</w:t>
      </w:r>
    </w:p>
    <w:p w:rsidR="007C6890" w:rsidRDefault="007C6890">
      <w:pPr>
        <w:pStyle w:val="CO2"/>
      </w:pPr>
      <w:r>
        <w:t>The Legal System and Property Rights</w:t>
      </w:r>
    </w:p>
    <w:p w:rsidR="007C6890" w:rsidRDefault="007C6890">
      <w:pPr>
        <w:pStyle w:val="CO2"/>
      </w:pPr>
      <w:r>
        <w:t>Obstacles to Effective Property Rights</w:t>
      </w:r>
    </w:p>
    <w:p w:rsidR="007C6890" w:rsidRDefault="007C6890" w:rsidP="00F101C9">
      <w:pPr>
        <w:pStyle w:val="CO1"/>
        <w:spacing w:before="60"/>
        <w:rPr>
          <w:i/>
          <w:iCs/>
        </w:rPr>
      </w:pPr>
      <w:r>
        <w:rPr>
          <w:i/>
          <w:iCs/>
        </w:rPr>
        <w:t xml:space="preserve">Policy and Practice: The World Bank’s </w:t>
      </w:r>
      <w:r>
        <w:t>Doing Business</w:t>
      </w:r>
    </w:p>
    <w:p w:rsidR="007C6890" w:rsidRDefault="007C6890">
      <w:pPr>
        <w:pStyle w:val="CO1"/>
        <w:rPr>
          <w:i/>
          <w:iCs/>
        </w:rPr>
      </w:pPr>
      <w:r>
        <w:rPr>
          <w:i/>
          <w:iCs/>
        </w:rPr>
        <w:t>Policy and Practice: Does Foreign Aid Work?</w:t>
      </w:r>
    </w:p>
    <w:p w:rsidR="007C6890" w:rsidRDefault="007C6890">
      <w:pPr>
        <w:pStyle w:val="CO"/>
      </w:pPr>
      <w:r>
        <w:t>Endogenous Growth Theory</w:t>
      </w:r>
    </w:p>
    <w:p w:rsidR="007C6890" w:rsidRDefault="007C6890">
      <w:pPr>
        <w:pStyle w:val="CO2"/>
      </w:pPr>
      <w:r>
        <w:t>Allocation of Labor</w:t>
      </w:r>
    </w:p>
    <w:p w:rsidR="007C6890" w:rsidRDefault="007C6890">
      <w:pPr>
        <w:pStyle w:val="CO2"/>
      </w:pPr>
      <w:r>
        <w:t>Production Function</w:t>
      </w:r>
    </w:p>
    <w:p w:rsidR="007C6890" w:rsidRDefault="007C6890">
      <w:pPr>
        <w:pStyle w:val="CO2"/>
      </w:pPr>
      <w:r>
        <w:t>Production of Technology</w:t>
      </w:r>
    </w:p>
    <w:p w:rsidR="007C6890" w:rsidRDefault="007C6890">
      <w:pPr>
        <w:pStyle w:val="CO2"/>
      </w:pPr>
      <w:r>
        <w:t xml:space="preserve">Sustained Growth in the </w:t>
      </w:r>
      <w:proofErr w:type="spellStart"/>
      <w:r>
        <w:t>Romer</w:t>
      </w:r>
      <w:proofErr w:type="spellEnd"/>
      <w:r>
        <w:t xml:space="preserve"> Model</w:t>
      </w:r>
    </w:p>
    <w:p w:rsidR="007C6890" w:rsidRDefault="007C6890">
      <w:pPr>
        <w:pStyle w:val="CO"/>
      </w:pPr>
      <w:r>
        <w:t>Factors That Affect Endogenous Growth</w:t>
      </w:r>
    </w:p>
    <w:p w:rsidR="007C6890" w:rsidRDefault="007C6890">
      <w:pPr>
        <w:pStyle w:val="CO2"/>
        <w:rPr>
          <w:rFonts w:ascii="k" w:hAnsi="k" w:cs="k"/>
          <w:lang w:bidi="en-US"/>
        </w:rPr>
      </w:pPr>
      <w:r>
        <w:t xml:space="preserve">Effects of an Increase in the Fraction of the Population Engaged in R&amp;D, </w:t>
      </w:r>
      <w:r w:rsidRPr="00C7778B">
        <w:rPr>
          <w:rFonts w:ascii="Symbol" w:hAnsi="Symbol"/>
          <w:iCs/>
        </w:rPr>
        <w:sym w:font="Symbol" w:char="F061"/>
      </w:r>
    </w:p>
    <w:p w:rsidR="007C6890" w:rsidRDefault="007C6890">
      <w:pPr>
        <w:pStyle w:val="CO2"/>
        <w:rPr>
          <w:lang w:bidi="en-US"/>
        </w:rPr>
      </w:pPr>
      <w:r>
        <w:rPr>
          <w:lang w:bidi="en-US"/>
        </w:rPr>
        <w:t xml:space="preserve">Effect of Changes in the Productiveness of R&amp;D, </w:t>
      </w:r>
      <w:r w:rsidRPr="00C7778B">
        <w:rPr>
          <w:rFonts w:ascii="Symbol" w:hAnsi="Symbol"/>
          <w:iCs/>
          <w:lang w:bidi="en-US"/>
        </w:rPr>
        <w:sym w:font="Symbol" w:char="F063"/>
      </w:r>
    </w:p>
    <w:p w:rsidR="007C6890" w:rsidRDefault="007C6890">
      <w:pPr>
        <w:pStyle w:val="CO2"/>
        <w:rPr>
          <w:b/>
          <w:lang w:bidi="en-US"/>
        </w:rPr>
      </w:pPr>
      <w:r>
        <w:t>Response</w:t>
      </w:r>
      <w:r>
        <w:rPr>
          <w:rFonts w:cs="k"/>
          <w:lang w:bidi="en-US"/>
        </w:rPr>
        <w:t xml:space="preserve"> to an Increase in the Total Population </w:t>
      </w:r>
      <w:r w:rsidRPr="00FF0F4F">
        <w:rPr>
          <w:position w:val="-6"/>
          <w:lang w:bidi="en-US"/>
        </w:rPr>
        <w:object w:dxaOrig="24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3.3pt" o:ole="">
            <v:imagedata r:id="rId7" o:title=""/>
          </v:shape>
          <o:OLEObject Type="Embed" ProgID="Equation.DSMT4" ShapeID="_x0000_i1025" DrawAspect="Content" ObjectID="_1450513046" r:id="rId8"/>
        </w:object>
      </w:r>
    </w:p>
    <w:p w:rsidR="007C6890" w:rsidRDefault="007C6890">
      <w:pPr>
        <w:pStyle w:val="CO"/>
        <w:spacing w:before="0"/>
        <w:rPr>
          <w:i/>
          <w:iCs/>
          <w:lang w:bidi="en-US"/>
        </w:rPr>
      </w:pPr>
      <w:r>
        <w:rPr>
          <w:i/>
          <w:iCs/>
          <w:lang w:bidi="en-US"/>
        </w:rPr>
        <w:t>Application: Does Population Growth Improve Living Standards?</w:t>
      </w:r>
    </w:p>
    <w:p w:rsidR="007C6890" w:rsidRDefault="007C6890">
      <w:pPr>
        <w:pStyle w:val="CO2"/>
        <w:rPr>
          <w:lang w:bidi="en-US"/>
        </w:rPr>
      </w:pPr>
      <w:r>
        <w:rPr>
          <w:lang w:bidi="en-US"/>
        </w:rPr>
        <w:t>The Romer Model and Saving</w:t>
      </w:r>
    </w:p>
    <w:p w:rsidR="007C6890" w:rsidRDefault="007C6890" w:rsidP="00995859">
      <w:pPr>
        <w:pStyle w:val="H2"/>
      </w:pPr>
      <w:r>
        <w:t>Chapter Overview and Teaching Tips</w:t>
      </w:r>
    </w:p>
    <w:p w:rsidR="007C6890" w:rsidRDefault="007C6890">
      <w:pPr>
        <w:pStyle w:val="T1"/>
      </w:pPr>
      <w:r>
        <w:t xml:space="preserve">The previous chapter’s discussion of growth accounting and the Solow model indicates that understanding what drives technology and productivity growth is crucial to understanding why some countries are rich and others poor. In contrast to most macroeconomic textbooks, which give only a cursory treatment of what drives technology and productivity growth, this chapter provides a deep discussion of this topic. </w:t>
      </w:r>
      <w:r>
        <w:lastRenderedPageBreak/>
        <w:t>Because some instructors prefer to spend more time on business cycle analysis, they may not have time</w:t>
      </w:r>
      <w:r w:rsidR="00532B8F">
        <w:t xml:space="preserve"> </w:t>
      </w:r>
      <w:r>
        <w:t xml:space="preserve">to cover this chapter and can skip it without loss of continuity with subsequent chapters. However, this topic is inherently fascinating and has generated an explosion of research in recent years. </w:t>
      </w:r>
    </w:p>
    <w:p w:rsidR="007C6890" w:rsidRDefault="007C6890">
      <w:pPr>
        <w:pStyle w:val="T2"/>
      </w:pPr>
      <w:r>
        <w:rPr>
          <w:spacing w:val="-2"/>
        </w:rPr>
        <w:t>The first thing to get across to students, which is discussed at the beginning of the chapter, is that technology</w:t>
      </w:r>
      <w:r>
        <w:t xml:space="preserve"> </w:t>
      </w:r>
      <w:r>
        <w:rPr>
          <w:spacing w:val="-2"/>
        </w:rPr>
        <w:t>is inherently different from other inputs to production and is somewhat magical. It has the big plus of being</w:t>
      </w:r>
      <w:r>
        <w:t xml:space="preserve"> </w:t>
      </w:r>
      <w:r>
        <w:rPr>
          <w:spacing w:val="-2"/>
        </w:rPr>
        <w:t>nonrivalrous and so can be used over and over again without being used up. Technology does, however, have</w:t>
      </w:r>
      <w:r>
        <w:t xml:space="preserve"> a big minus: It is often nonexcludable</w:t>
      </w:r>
      <w:r w:rsidR="00F101C9">
        <w:t>,</w:t>
      </w:r>
      <w:r>
        <w:t xml:space="preserve"> and so there may not be sufficient incentives to invest in producing it. Getting students to understand the key concepts of nonrivalry and nonexcludability is crucial because they are so important in thinking about policies to stimulate technology production and economic growth.</w:t>
      </w:r>
    </w:p>
    <w:p w:rsidR="007C6890" w:rsidRDefault="007C6890">
      <w:pPr>
        <w:pStyle w:val="T2"/>
      </w:pPr>
      <w:r>
        <w:t>The chapter is structured with the sections on policies to promote productivity and on institutions and property rights coming before the development of endogenous growth theory. I have done this because endogenous growth theory is harder for students to master than the policy issues, and teaching this theory is not necessary for discussion of these policy issues. However, if an instructor wants to teach endogenous growth theory, I would recommend that he or she teach it before the sections on policies to promote productivity because understanding this theory leads to a deeper understanding of the policy issues.</w:t>
      </w:r>
    </w:p>
    <w:p w:rsidR="007C6890" w:rsidRDefault="007C6890">
      <w:pPr>
        <w:pStyle w:val="T2"/>
      </w:pPr>
      <w:r>
        <w:t xml:space="preserve">Students enjoy talking about policies to promote productivity growth, and discussion of the Interstate Highway System as an example of </w:t>
      </w:r>
      <w:r w:rsidR="00F101C9">
        <w:t xml:space="preserve">a </w:t>
      </w:r>
      <w:r>
        <w:t xml:space="preserve">highly successful physical infrastructure to promote productivity is very relevant to them because almost </w:t>
      </w:r>
      <w:r w:rsidR="00F101C9">
        <w:t xml:space="preserve">many </w:t>
      </w:r>
      <w:r>
        <w:t xml:space="preserve">students use it </w:t>
      </w:r>
      <w:r w:rsidR="00F101C9">
        <w:t>frequently</w:t>
      </w:r>
      <w:r>
        <w:t>. Another nice example is to discuss how China has a far superior road and port infrastructure than does India</w:t>
      </w:r>
      <w:r w:rsidR="00F101C9">
        <w:t>,</w:t>
      </w:r>
      <w:r>
        <w:t xml:space="preserve"> and this can help explain why China’s growth has been superior to India’s. Human capital is another concept that is </w:t>
      </w:r>
      <w:proofErr w:type="gramStart"/>
      <w:r>
        <w:t>key</w:t>
      </w:r>
      <w:proofErr w:type="gramEnd"/>
      <w:r>
        <w:t xml:space="preserve"> for students to understand, and </w:t>
      </w:r>
      <w:r w:rsidR="00F101C9">
        <w:t xml:space="preserve">because </w:t>
      </w:r>
      <w:r>
        <w:t xml:space="preserve">they </w:t>
      </w:r>
      <w:r w:rsidR="00F101C9">
        <w:t xml:space="preserve">currently </w:t>
      </w:r>
      <w:r>
        <w:t>are engaged in building their human capital by being in school, it is</w:t>
      </w:r>
      <w:r w:rsidR="00532B8F">
        <w:t xml:space="preserve"> </w:t>
      </w:r>
      <w:r>
        <w:t>a natural one for them to understand. Discussing the Policy and Practice case on government measures</w:t>
      </w:r>
      <w:r w:rsidR="00532B8F">
        <w:t xml:space="preserve"> </w:t>
      </w:r>
      <w:r>
        <w:t xml:space="preserve">to increase human capital in class also will drive home this important concept. Also, </w:t>
      </w:r>
      <w:r w:rsidR="00F101C9">
        <w:t xml:space="preserve">because </w:t>
      </w:r>
      <w:r>
        <w:t>government support of universities is a key government policy to encourage research and development, it is easy to discuss examples like this that are close to home.</w:t>
      </w:r>
    </w:p>
    <w:p w:rsidR="007C6890" w:rsidRDefault="007C6890">
      <w:pPr>
        <w:pStyle w:val="T2"/>
      </w:pPr>
      <w:r>
        <w:t xml:space="preserve">Student understanding of the role of good institutions and property rights to promoting economic growth is </w:t>
      </w:r>
      <w:r>
        <w:rPr>
          <w:spacing w:val="-3"/>
        </w:rPr>
        <w:t>enhanced by practical policy examples discussed in the Policy and Practice cases in this section. The example</w:t>
      </w:r>
      <w:r>
        <w:t xml:space="preserve"> of the World Bank’s </w:t>
      </w:r>
      <w:r>
        <w:rPr>
          <w:i/>
        </w:rPr>
        <w:t xml:space="preserve">Doing Business </w:t>
      </w:r>
      <w:r>
        <w:t>publication illustrates how a focus on institutional development has become important in development institutions like the World Bank. Getting students to debate whether foreign aid helps or harms countries as is discussed in the Policy and Practice case, “Does Foreign Aid Work?” is a good way to get them to recognize that obvious solutions to poverty of giving poor countries money may not work because it can hinder the development of good institutions.</w:t>
      </w:r>
    </w:p>
    <w:p w:rsidR="007C6890" w:rsidRDefault="007C6890" w:rsidP="00F101C9">
      <w:pPr>
        <w:pStyle w:val="T2"/>
      </w:pPr>
      <w:r>
        <w:t xml:space="preserve">The last part of the chapter develops endogenous growth theory with the so-called Romer model. I build </w:t>
      </w:r>
      <w:r>
        <w:rPr>
          <w:spacing w:val="-3"/>
        </w:rPr>
        <w:t>this model as a direct extension of the Solow model, which I have not seen done in any other macroeconomics</w:t>
      </w:r>
      <w:r>
        <w:t xml:space="preserve"> textbooks. This has two advantages. First, all the intuition the student</w:t>
      </w:r>
      <w:r w:rsidR="00F101C9">
        <w:t>s</w:t>
      </w:r>
      <w:r>
        <w:t xml:space="preserve"> developed with the Solow model can </w:t>
      </w:r>
      <w:r>
        <w:rPr>
          <w:spacing w:val="-3"/>
        </w:rPr>
        <w:t>be carried over to the Romer model. Second, the model developed in this chapter gets all the rich dynamics</w:t>
      </w:r>
      <w:r>
        <w:t xml:space="preserve"> from both changes in the capital–labor ratio as well as from the endogenous growth of productivity. </w:t>
      </w:r>
      <w:r>
        <w:rPr>
          <w:spacing w:val="-2"/>
        </w:rPr>
        <w:t>One of the key concepts to get across to students in endogenous growth theory is the balanced growth path.</w:t>
      </w:r>
      <w:r>
        <w:t xml:space="preserve"> </w:t>
      </w:r>
      <w:r>
        <w:rPr>
          <w:spacing w:val="-3"/>
        </w:rPr>
        <w:t>You can help students get the intuition behind it by indicating that it is similar to the steady state in the Solow</w:t>
      </w:r>
      <w:r>
        <w:t xml:space="preserve"> growth model, but where technology is growing at a steady rate</w:t>
      </w:r>
      <w:r w:rsidR="00F101C9">
        <w:t>,</w:t>
      </w:r>
      <w:r>
        <w:t xml:space="preserve"> so capital, labor and output also grow at a steady rate. One of the interesting implications of the endogenous growth model is that population growth can raise per capita income, while it does the opposite in the Solow growth model. The application in the chapter, “Does Population Growth Improve Living Standards?” can be used in class to add a further dimension to the debate over whether measures to limit population growth are a good idea.</w:t>
      </w:r>
    </w:p>
    <w:p w:rsidR="007C6890" w:rsidRDefault="007C6890">
      <w:pPr>
        <w:pStyle w:val="awTB01questionHead"/>
      </w:pPr>
      <w:r>
        <w:lastRenderedPageBreak/>
        <w:sym w:font="Wingdings" w:char="F06E"/>
      </w:r>
      <w:r>
        <w:t> </w:t>
      </w:r>
      <w:r>
        <w:t>Answers to End of Chapter Review Questions and Problems</w:t>
      </w:r>
    </w:p>
    <w:p w:rsidR="007C6890" w:rsidRDefault="007C6890">
      <w:pPr>
        <w:pStyle w:val="H2"/>
        <w:spacing w:before="0"/>
      </w:pPr>
      <w:r>
        <w:t>Answers to Review Questions</w:t>
      </w:r>
    </w:p>
    <w:p w:rsidR="007C6890" w:rsidRDefault="007C6890" w:rsidP="00995859">
      <w:pPr>
        <w:pStyle w:val="H3"/>
      </w:pPr>
      <w:r>
        <w:t xml:space="preserve">Technology as a Production Input </w:t>
      </w:r>
    </w:p>
    <w:p w:rsidR="007C6890" w:rsidRDefault="007C6890">
      <w:pPr>
        <w:pStyle w:val="MCQList1"/>
        <w:spacing w:before="0"/>
      </w:pPr>
      <w:r>
        <w:tab/>
        <w:t>1.</w:t>
      </w:r>
      <w:r>
        <w:tab/>
        <w:t>As physical objects, labor and capital inputs are rival and excludable: They can only be used in one productive activity at a time, so that using them to produce one thing precludes their use to produce something else, and they cannot be used by producers who have not obtained permission to do so. Technology (ideas) differs completely in these important characteristics. Ideas can be used in more than one productive activity at the same time and are more likely to be nonexcludable, so that other people can use them without permission or payment for their use. In these respects, technology has the characteristics of public goods.</w:t>
      </w:r>
    </w:p>
    <w:p w:rsidR="007C6890" w:rsidRDefault="007C6890" w:rsidP="00995859">
      <w:pPr>
        <w:pStyle w:val="H3"/>
      </w:pPr>
      <w:r>
        <w:t>Policies to Promote Productivity</w:t>
      </w:r>
    </w:p>
    <w:p w:rsidR="007C6890" w:rsidRDefault="007C6890">
      <w:pPr>
        <w:pStyle w:val="MCQList1"/>
        <w:spacing w:before="0"/>
      </w:pPr>
      <w:r>
        <w:tab/>
        <w:t>2.</w:t>
      </w:r>
      <w:r>
        <w:tab/>
        <w:t xml:space="preserve">Government can promote productivity growth by designing policies that lead to more spending on infrastructure, human capital, and research and development. These policies might take the form of increased government spending in these areas or instead provide greater incentives for private individuals and investors to undertake the increased expenditures. </w:t>
      </w:r>
    </w:p>
    <w:p w:rsidR="007C6890" w:rsidRDefault="007C6890">
      <w:pPr>
        <w:pStyle w:val="MCQList1"/>
      </w:pPr>
      <w:r>
        <w:tab/>
        <w:t>3.</w:t>
      </w:r>
      <w:r>
        <w:tab/>
        <w:t xml:space="preserve">Because of the nonexcludable nature of technology, many of the benefits of new technology will be external. This means that private businesses </w:t>
      </w:r>
      <w:r w:rsidR="00F101C9">
        <w:t xml:space="preserve">that </w:t>
      </w:r>
      <w:r>
        <w:t>invest in R&amp;D will not get the full benefits of the new technology they create and</w:t>
      </w:r>
      <w:r w:rsidR="00F101C9">
        <w:t>,</w:t>
      </w:r>
      <w:r>
        <w:t xml:space="preserve"> therefore</w:t>
      </w:r>
      <w:r w:rsidR="00F101C9">
        <w:t>,</w:t>
      </w:r>
      <w:r>
        <w:t xml:space="preserve"> may not expect to earn enough profits to justify the R&amp;D investment necessary to develop the new technology. </w:t>
      </w:r>
    </w:p>
    <w:p w:rsidR="007C6890" w:rsidRPr="00F101C9" w:rsidRDefault="007C6890">
      <w:pPr>
        <w:pStyle w:val="MCQList1"/>
      </w:pPr>
      <w:r w:rsidRPr="00F101C9">
        <w:tab/>
        <w:t>4.</w:t>
      </w:r>
      <w:r w:rsidRPr="00F101C9">
        <w:tab/>
        <w:t>A patent gives an inventor exclusive rights over the use of his or her invention for a specific period of time. The inventor may use the new technology or sell or license it for others to use. When governments grant patents</w:t>
      </w:r>
      <w:r w:rsidR="00F101C9" w:rsidRPr="00F101C9">
        <w:t>,</w:t>
      </w:r>
      <w:r w:rsidRPr="00F101C9">
        <w:t xml:space="preserve"> this enables inventors to earn higher profits from their inventive activities—e.g., R&amp;D—and thus helps overcome the disincentives that otherwise spring from the nonexcludability of technology. This should benefit society by increasing R&amp;D spending, technological progress, and the growth rate of per capita output.</w:t>
      </w:r>
    </w:p>
    <w:p w:rsidR="007C6890" w:rsidRDefault="007C6890" w:rsidP="00995859">
      <w:pPr>
        <w:pStyle w:val="H3"/>
      </w:pPr>
      <w:r>
        <w:t>Institutions and Property Rights</w:t>
      </w:r>
    </w:p>
    <w:p w:rsidR="007C6890" w:rsidRDefault="007C6890">
      <w:pPr>
        <w:pStyle w:val="MCQList1"/>
        <w:spacing w:before="0"/>
      </w:pPr>
      <w:r>
        <w:tab/>
        <w:t>5.</w:t>
      </w:r>
      <w:r>
        <w:tab/>
        <w:t xml:space="preserve">Property rights protect property owners from government and others </w:t>
      </w:r>
      <w:r w:rsidR="00F101C9">
        <w:t xml:space="preserve">who </w:t>
      </w:r>
      <w:r>
        <w:t xml:space="preserve">might want to extort their wealth. </w:t>
      </w:r>
      <w:r w:rsidR="00F101C9">
        <w:t xml:space="preserve">Property rights </w:t>
      </w:r>
      <w:r>
        <w:t>promote economic growth by providing incentives to save and invest and allocate capital to its most productive uses.</w:t>
      </w:r>
    </w:p>
    <w:p w:rsidR="007C6890" w:rsidRDefault="007C6890">
      <w:pPr>
        <w:pStyle w:val="MCQList1"/>
      </w:pPr>
      <w:r>
        <w:tab/>
        <w:t>6.</w:t>
      </w:r>
      <w:r>
        <w:tab/>
        <w:t>Property rights are no better than the legal system that defines, interprets, and enforces them. To promote strong property rights</w:t>
      </w:r>
      <w:r w:rsidR="00F101C9">
        <w:t>,</w:t>
      </w:r>
      <w:r>
        <w:t xml:space="preserve"> a society needs an effective legal system that enforces contracts,</w:t>
      </w:r>
      <w:r w:rsidR="00532B8F">
        <w:t xml:space="preserve"> </w:t>
      </w:r>
      <w:r>
        <w:t>has adequate resources (courts and judges) to hear and decide cases within a reasonable time, and provides access to lawyers</w:t>
      </w:r>
      <w:r w:rsidR="00F101C9">
        <w:t>,</w:t>
      </w:r>
      <w:r>
        <w:t xml:space="preserve"> so aggrieved parties can have their day in court. </w:t>
      </w:r>
    </w:p>
    <w:p w:rsidR="007C6890" w:rsidRDefault="007C6890" w:rsidP="00995859">
      <w:pPr>
        <w:pStyle w:val="H3"/>
      </w:pPr>
      <w:r>
        <w:t xml:space="preserve">Endogenous Growth Theory </w:t>
      </w:r>
    </w:p>
    <w:p w:rsidR="007C6890" w:rsidRDefault="007C6890">
      <w:pPr>
        <w:pStyle w:val="MCQList1"/>
        <w:spacing w:before="0"/>
      </w:pPr>
      <w:r>
        <w:tab/>
        <w:t>7.</w:t>
      </w:r>
      <w:r>
        <w:tab/>
        <w:t>The Solow growth model treats changes in technology and productivity exogenously, which renders it incapable of explaining sustained economic growth and differences across countries in terms of per capital income levels and growth. The Romer model provides endogenous explanations for technological advances and</w:t>
      </w:r>
      <w:r w:rsidR="00F101C9">
        <w:t>,</w:t>
      </w:r>
      <w:r>
        <w:t xml:space="preserve"> thus</w:t>
      </w:r>
      <w:r w:rsidR="00F101C9">
        <w:t>,</w:t>
      </w:r>
      <w:r>
        <w:t xml:space="preserve"> for sustained economic growth.</w:t>
      </w:r>
    </w:p>
    <w:p w:rsidR="007C6890" w:rsidRDefault="007C6890">
      <w:pPr>
        <w:pStyle w:val="MCQList1"/>
      </w:pPr>
      <w:r>
        <w:tab/>
        <w:t>8.</w:t>
      </w:r>
      <w:r>
        <w:tab/>
        <w:t>In the Solow model, diminishing returns to capital move the economy to a steady state at which capital and output per worker are constant. However, sustained per capita growth is possible in the Romer model because the nonrivalrous nature of technology means that additions of technology that result from R&amp;D are not subject to diminishing returns.</w:t>
      </w:r>
    </w:p>
    <w:p w:rsidR="007C6890" w:rsidRDefault="007C6890" w:rsidP="00995859">
      <w:pPr>
        <w:pStyle w:val="H3"/>
      </w:pPr>
      <w:r>
        <w:lastRenderedPageBreak/>
        <w:t xml:space="preserve">Factors </w:t>
      </w:r>
      <w:r w:rsidR="00024C47">
        <w:t>T</w:t>
      </w:r>
      <w:r>
        <w:t xml:space="preserve">hat Affect Endogenous Growth </w:t>
      </w:r>
    </w:p>
    <w:p w:rsidR="007C6890" w:rsidRDefault="007C6890">
      <w:pPr>
        <w:pStyle w:val="MCQList1"/>
        <w:spacing w:before="0"/>
      </w:pPr>
      <w:r>
        <w:tab/>
        <w:t>9.</w:t>
      </w:r>
      <w:r>
        <w:tab/>
        <w:t>The three determinants of an economy’s growth rate in the Romer model are the productiveness of labor used in research and development (R&amp;D), the fraction of the population that is engaged in R&amp;D, and the total population. Each determinant affects the growth rate positively.</w:t>
      </w:r>
    </w:p>
    <w:p w:rsidR="007C6890" w:rsidRDefault="007C6890">
      <w:pPr>
        <w:pStyle w:val="MCQList1"/>
      </w:pPr>
      <w:r>
        <w:t>10.</w:t>
      </w:r>
      <w:r>
        <w:tab/>
        <w:t xml:space="preserve">The growth rate of per capita output at first falls, but ultimately it rises. This is so because an increase </w:t>
      </w:r>
      <w:r>
        <w:rPr>
          <w:spacing w:val="-2"/>
        </w:rPr>
        <w:t>in the fraction of the population engaged in R&amp;D means a decrease in the fraction of workers available</w:t>
      </w:r>
      <w:r>
        <w:t xml:space="preserve"> to use in the production of goods and services. This initially causes per capita output to fall and also </w:t>
      </w:r>
      <w:r>
        <w:rPr>
          <w:spacing w:val="-2"/>
        </w:rPr>
        <w:t>causes a slowing in the growth rate of per capita output as the capital–labor ratio for workers employed</w:t>
      </w:r>
      <w:r>
        <w:t xml:space="preserve"> in the production of goods and services first rises and then returns to its steady-state level. However, because the growth rate of technology will increase as more workers engage in R&amp;D, the growth rate of per capita income will rise permanently above its initial value.</w:t>
      </w:r>
    </w:p>
    <w:p w:rsidR="007C6890" w:rsidRDefault="007C6890">
      <w:pPr>
        <w:pStyle w:val="MCQList1"/>
      </w:pPr>
      <w:r>
        <w:t>11.</w:t>
      </w:r>
      <w:r>
        <w:tab/>
      </w:r>
      <w:r>
        <w:rPr>
          <w:spacing w:val="-2"/>
        </w:rPr>
        <w:t>The growth rate of per capita output increases and then drops but remains higher than before. Initially,</w:t>
      </w:r>
      <w:r>
        <w:t xml:space="preserve"> the increase in total population causes the capital–labor ratio for workers employed in the production of goods and services to decrease. Because the capital–labor ratio falls below its steady-state value, it will begin to rise. This will increase the growth rate of per capita output temporarily above its long-</w:t>
      </w:r>
      <w:r>
        <w:rPr>
          <w:spacing w:val="-2"/>
        </w:rPr>
        <w:t>run rate. However, because there will be more labor engaged in producing new technology, the growth</w:t>
      </w:r>
      <w:r>
        <w:t xml:space="preserve"> rate of per capita output will fall toward a long-run rate that is permanently higher than before.</w:t>
      </w:r>
    </w:p>
    <w:p w:rsidR="007C6890" w:rsidRDefault="007C6890">
      <w:pPr>
        <w:pStyle w:val="MCQList1"/>
      </w:pPr>
      <w:r>
        <w:t>12.</w:t>
      </w:r>
      <w:r>
        <w:tab/>
        <w:t>An increase in the saving rate causes per capita output temporarily to grow faster as it allows for more investment per worker and a higher steady state capital–labor ratio, which raises per capita output to a new higher level. However, an increase in saving does not cause the per capita output growth rate to be permanently higher because the increase in saving does not affect any of the variables in the technology production function.</w:t>
      </w:r>
    </w:p>
    <w:p w:rsidR="007C6890" w:rsidRDefault="007C6890" w:rsidP="00995859">
      <w:pPr>
        <w:pStyle w:val="H2"/>
      </w:pPr>
      <w:r>
        <w:t>Answers to Problems</w:t>
      </w:r>
    </w:p>
    <w:p w:rsidR="007C6890" w:rsidRDefault="007C6890" w:rsidP="00995859">
      <w:pPr>
        <w:pStyle w:val="H3"/>
      </w:pPr>
      <w:r>
        <w:t xml:space="preserve">Technology as a Production Input </w:t>
      </w:r>
    </w:p>
    <w:p w:rsidR="007C6890" w:rsidRDefault="007C6890">
      <w:pPr>
        <w:pStyle w:val="MCQList1sub"/>
        <w:spacing w:before="0"/>
      </w:pPr>
      <w:r>
        <w:tab/>
        <w:t>1.</w:t>
      </w:r>
      <w:r>
        <w:tab/>
        <w:t>a.</w:t>
      </w:r>
      <w:r>
        <w:tab/>
      </w:r>
      <w:r>
        <w:rPr>
          <w:spacing w:val="-2"/>
        </w:rPr>
        <w:t>A robot is a rival input, as it cannot be used in another activity when used to weld cars in a factory.</w:t>
      </w:r>
      <w:r>
        <w:t xml:space="preserve"> </w:t>
      </w:r>
      <w:r>
        <w:rPr>
          <w:spacing w:val="-2"/>
        </w:rPr>
        <w:t>The idea of an assembly line is a nonrival good, as many people can use that idea at the same time.</w:t>
      </w:r>
      <w:r>
        <w:t xml:space="preserve"> A robot is an excludable input, as it is a piece of property and its owner can prevent others from </w:t>
      </w:r>
      <w:r>
        <w:rPr>
          <w:spacing w:val="-2"/>
        </w:rPr>
        <w:t>using it. The idea of an assembly line has a very low degree of excludability, as it is quite difficult</w:t>
      </w:r>
      <w:r>
        <w:t xml:space="preserve"> to prevent other entrepreneurs to use it. </w:t>
      </w:r>
    </w:p>
    <w:p w:rsidR="007C6890" w:rsidRDefault="007C6890">
      <w:pPr>
        <w:pStyle w:val="MCQList2"/>
      </w:pPr>
      <w:r>
        <w:t>b.</w:t>
      </w:r>
      <w:r>
        <w:tab/>
        <w:t>Both recipes are nonrival goods, as they are ideas. The recipe to make pancakes has a very low degree of excludability, but the recipe to manufacture a soda drink probably has a higher degree of excludability. The latter is probably protected by a patent.</w:t>
      </w:r>
    </w:p>
    <w:p w:rsidR="007C6890" w:rsidRDefault="007C6890" w:rsidP="00995859">
      <w:pPr>
        <w:pStyle w:val="H3"/>
      </w:pPr>
      <w:r>
        <w:t>Policies to Promote Productivity</w:t>
      </w:r>
    </w:p>
    <w:p w:rsidR="007C6890" w:rsidRDefault="007C6890">
      <w:pPr>
        <w:pStyle w:val="MCQList1"/>
        <w:spacing w:before="0"/>
      </w:pPr>
      <w:r>
        <w:tab/>
        <w:t>2.</w:t>
      </w:r>
      <w:r>
        <w:tab/>
        <w:t xml:space="preserve">The </w:t>
      </w:r>
      <w:r w:rsidR="008317F6">
        <w:t xml:space="preserve">rationale for this policy </w:t>
      </w:r>
      <w:r>
        <w:t xml:space="preserve">is to increase technology and to make each U.S. worker more productive. Easier and faster </w:t>
      </w:r>
      <w:r w:rsidR="0037006C">
        <w:t>I</w:t>
      </w:r>
      <w:r>
        <w:t>nternet access can reduce businesses’ costs, for example</w:t>
      </w:r>
      <w:r w:rsidR="0037006C">
        <w:t>,</w:t>
      </w:r>
      <w:r>
        <w:t xml:space="preserve"> by allowing faster inventory updates. It can also create opportunities for new businesses as the </w:t>
      </w:r>
      <w:r w:rsidR="0037006C">
        <w:t>I</w:t>
      </w:r>
      <w:r>
        <w:t xml:space="preserve">nternet has already done for many entrepreneurs. </w:t>
      </w:r>
    </w:p>
    <w:p w:rsidR="007C6890" w:rsidRDefault="007C6890">
      <w:pPr>
        <w:pStyle w:val="MCQList1sub"/>
      </w:pPr>
      <w:r>
        <w:tab/>
        <w:t>3.</w:t>
      </w:r>
      <w:r>
        <w:tab/>
        <w:t>a.</w:t>
      </w:r>
      <w:r>
        <w:tab/>
        <w:t xml:space="preserve">The One Laptop per Child program will most surely increase workers’ productivity when today’s children join the labor force in the future. In the Romer model’s terminology, we can interpret this program as an increase in the chi </w:t>
      </w:r>
      <w:r w:rsidRPr="00FF0F4F">
        <w:rPr>
          <w:position w:val="-10"/>
        </w:rPr>
        <w:object w:dxaOrig="380" w:dyaOrig="300">
          <v:shape id="_x0000_i1026" type="#_x0000_t75" style="width:18.75pt;height:15.15pt" o:ole="">
            <v:imagedata r:id="rId9" o:title=""/>
          </v:shape>
          <o:OLEObject Type="Embed" ProgID="Equation.DSMT4" ShapeID="_x0000_i1026" DrawAspect="Content" ObjectID="_1450513047" r:id="rId10"/>
        </w:object>
      </w:r>
      <w:r>
        <w:t xml:space="preserve"> parameter. </w:t>
      </w:r>
    </w:p>
    <w:p w:rsidR="007C6890" w:rsidRDefault="007C6890">
      <w:pPr>
        <w:pStyle w:val="MCQList2"/>
      </w:pPr>
      <w:r>
        <w:t>b.</w:t>
      </w:r>
      <w:r>
        <w:tab/>
        <w:t xml:space="preserve">An increase in the chi </w:t>
      </w:r>
      <w:r w:rsidRPr="00FF0F4F">
        <w:rPr>
          <w:position w:val="-10"/>
        </w:rPr>
        <w:object w:dxaOrig="380" w:dyaOrig="300">
          <v:shape id="_x0000_i1027" type="#_x0000_t75" style="width:18.75pt;height:15.15pt" o:ole="">
            <v:imagedata r:id="rId11" o:title=""/>
          </v:shape>
          <o:OLEObject Type="Embed" ProgID="Equation.DSMT4" ShapeID="_x0000_i1027" DrawAspect="Content" ObjectID="_1450513048" r:id="rId12"/>
        </w:object>
      </w:r>
      <w:r>
        <w:t xml:space="preserve"> parameter increases the growth rate of technology, as the same stock of workers devoted to the production of technology become more productive. This also increases the balanced growth path of output per capita.</w:t>
      </w:r>
    </w:p>
    <w:p w:rsidR="007C6890" w:rsidRDefault="007C6890">
      <w:pPr>
        <w:pStyle w:val="MCQList1"/>
      </w:pPr>
      <w:r>
        <w:lastRenderedPageBreak/>
        <w:tab/>
        <w:t>4.</w:t>
      </w:r>
      <w:r>
        <w:tab/>
        <w:t xml:space="preserve">According to Romer’s model, government spending </w:t>
      </w:r>
      <w:r w:rsidR="0037006C">
        <w:t>o</w:t>
      </w:r>
      <w:r>
        <w:t xml:space="preserve">n infrastructure can increase productivity in many ways. Government spending </w:t>
      </w:r>
      <w:r w:rsidR="0037006C">
        <w:t>o</w:t>
      </w:r>
      <w:r>
        <w:t>n education and health usually has high returns. Improving</w:t>
      </w:r>
      <w:r w:rsidR="00532B8F">
        <w:t xml:space="preserve"> </w:t>
      </w:r>
      <w:r>
        <w:t xml:space="preserve">health conditions in poor countries’ crowded cities usually decreases the prevalence of </w:t>
      </w:r>
      <w:r w:rsidR="0037006C">
        <w:t xml:space="preserve">transmittable </w:t>
      </w:r>
      <w:r>
        <w:t xml:space="preserve">diseases like cholera. This reduces the costs associated with treating patients at the same time it increases returns to education (e.g., children do not miss as many school days as before). This results </w:t>
      </w:r>
      <w:r>
        <w:rPr>
          <w:spacing w:val="-2"/>
        </w:rPr>
        <w:t>in a healthier and</w:t>
      </w:r>
      <w:r w:rsidR="0037006C">
        <w:rPr>
          <w:spacing w:val="-2"/>
        </w:rPr>
        <w:t>,</w:t>
      </w:r>
      <w:r>
        <w:rPr>
          <w:spacing w:val="-2"/>
        </w:rPr>
        <w:t xml:space="preserve"> therefore</w:t>
      </w:r>
      <w:r w:rsidR="0037006C">
        <w:rPr>
          <w:spacing w:val="-2"/>
        </w:rPr>
        <w:t>,</w:t>
      </w:r>
      <w:r>
        <w:rPr>
          <w:spacing w:val="-2"/>
        </w:rPr>
        <w:t xml:space="preserve"> more productive labor force, increasing the balanced growth part of output</w:t>
      </w:r>
      <w:r>
        <w:t xml:space="preserve"> per capita.</w:t>
      </w:r>
    </w:p>
    <w:p w:rsidR="007C6890" w:rsidRDefault="007C6890">
      <w:pPr>
        <w:pStyle w:val="MCQList1"/>
      </w:pPr>
      <w:r>
        <w:tab/>
        <w:t>5.</w:t>
      </w:r>
      <w:r>
        <w:tab/>
        <w:t xml:space="preserve">According to Romer’s model, we should expect that countries that have better designed and enforced </w:t>
      </w:r>
      <w:r>
        <w:rPr>
          <w:spacing w:val="-2"/>
        </w:rPr>
        <w:t>property rights are the ones with better standards of living. Properly enforcing property rights increases</w:t>
      </w:r>
      <w:r>
        <w:t xml:space="preserve"> individuals’ and firms’ ability to recover their investment needed to advance technology. After the period from which the innovation is made excludable by patents laws (or the enforcement of some other property right), technology spills over and benefits the whole society, even the world. Countries in which individuals and firms have the incentives to engage in R&amp;D will benefit the most from this innovation process. As predicted by Romer’s model, the IPRI ranking and per capita income growth are strongly correlated. </w:t>
      </w:r>
    </w:p>
    <w:p w:rsidR="007C6890" w:rsidRDefault="007C6890" w:rsidP="00995859">
      <w:pPr>
        <w:pStyle w:val="H3"/>
      </w:pPr>
      <w:r>
        <w:t xml:space="preserve">Institutions and Property Rights </w:t>
      </w:r>
    </w:p>
    <w:p w:rsidR="007C6890" w:rsidRDefault="007C6890">
      <w:pPr>
        <w:pStyle w:val="MCQList1"/>
      </w:pPr>
      <w:r>
        <w:tab/>
        <w:t>6.</w:t>
      </w:r>
      <w:r>
        <w:tab/>
      </w:r>
    </w:p>
    <w:p w:rsidR="00CA338E" w:rsidRDefault="00D272CB">
      <w:pPr>
        <w:pStyle w:val="awTBfig"/>
        <w:spacing w:before="0"/>
        <w:ind w:left="475"/>
      </w:pPr>
      <w:r w:rsidRPr="00FE0395">
        <w:rPr>
          <w:noProof/>
          <w:snapToGrid/>
        </w:rPr>
        <w:pict>
          <v:shape id="Chart 1" o:spid="_x0000_i1028" type="#_x0000_t75" style="width:5in;height:208.15pt;visibility:visible" o:gfxdata="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">
            <v:imagedata r:id="rId13" o:title=""/>
            <o:lock v:ext="edit" aspectratio="f"/>
          </v:shape>
        </w:pict>
      </w:r>
    </w:p>
    <w:p w:rsidR="007C6890" w:rsidRDefault="007C6890">
      <w:pPr>
        <w:pStyle w:val="awTBfig"/>
        <w:spacing w:before="0"/>
        <w:ind w:left="475"/>
      </w:pPr>
    </w:p>
    <w:p w:rsidR="007C6890" w:rsidRDefault="007C6890">
      <w:pPr>
        <w:pStyle w:val="MCQList1"/>
      </w:pPr>
      <w:r>
        <w:tab/>
      </w:r>
      <w:r>
        <w:tab/>
        <w:t>According to the graph, there is a close association between corruption and per capita income. As</w:t>
      </w:r>
      <w:r w:rsidR="00532B8F">
        <w:t xml:space="preserve"> </w:t>
      </w:r>
      <w:r>
        <w:t>the CPI value increases, indicating that corruption is less prevalent, GNI per capita also increases.</w:t>
      </w:r>
      <w:r w:rsidR="00532B8F">
        <w:t xml:space="preserve"> </w:t>
      </w:r>
      <w:r>
        <w:t>As expected, relatively richer countries exhibit higher values of the CPI. This constitutes evidence</w:t>
      </w:r>
      <w:r w:rsidR="00532B8F">
        <w:t xml:space="preserve"> </w:t>
      </w:r>
      <w:r>
        <w:t xml:space="preserve">in favor of the hypothesis that corruption and economic growth are negatively related. </w:t>
      </w:r>
    </w:p>
    <w:p w:rsidR="007C6890" w:rsidRPr="0037006C" w:rsidRDefault="007C6890">
      <w:pPr>
        <w:pStyle w:val="MCQList1"/>
      </w:pPr>
      <w:r w:rsidRPr="0037006C">
        <w:tab/>
        <w:t>7.</w:t>
      </w:r>
      <w:r w:rsidRPr="0037006C">
        <w:tab/>
        <w:t>Unfortunately</w:t>
      </w:r>
      <w:r w:rsidR="0037006C" w:rsidRPr="0037006C">
        <w:t>,</w:t>
      </w:r>
      <w:r w:rsidRPr="0037006C">
        <w:t xml:space="preserve"> there is no clear answer for this question. There are valid arguments for both positions. The prevalence of corruption in a society makes the enforcement of property rights very difficult, as government officials are often bribed in exchange for preferential treatments or concessions. Also, in a society in which most people are corrupt</w:t>
      </w:r>
      <w:r w:rsidR="0037006C" w:rsidRPr="0037006C">
        <w:t>,</w:t>
      </w:r>
      <w:r w:rsidRPr="0037006C">
        <w:t xml:space="preserve"> it often pays off to behave as a corrupt individual, making this problem even worse. It is also true, however, that badly designed institutions can promote corruption. This is the case when bureaucracies create positions (usually government officials) that create the opportunity for individuals to exert some power. If you have to pay many license fees to obtain a permit to conduct your businesses, it is probable that the higher the number of licenses you </w:t>
      </w:r>
      <w:r w:rsidRPr="0037006C">
        <w:lastRenderedPageBreak/>
        <w:t xml:space="preserve">have to obtain at different government offices, the more bribes you will be asked to pay. This is an example of a vicious circle from which it is very difficult to escape. Poor countries often exhibit a combination of poorly designed and enforced property rights and </w:t>
      </w:r>
      <w:r w:rsidR="0037006C">
        <w:t xml:space="preserve">of </w:t>
      </w:r>
      <w:r w:rsidRPr="0037006C">
        <w:t>corruption.</w:t>
      </w:r>
    </w:p>
    <w:p w:rsidR="007C6890" w:rsidRDefault="007C6890">
      <w:pPr>
        <w:pStyle w:val="MCQList1"/>
      </w:pPr>
      <w:r>
        <w:tab/>
        <w:t>8.</w:t>
      </w:r>
      <w:r>
        <w:tab/>
        <w:t xml:space="preserve">Although the answer to this question is </w:t>
      </w:r>
      <w:r>
        <w:rPr>
          <w:rFonts w:cs="Tahoma"/>
          <w:color w:val="000000"/>
        </w:rPr>
        <w:t>based on personal opinion,</w:t>
      </w:r>
      <w:r>
        <w:t xml:space="preserve"> both Sachs and Easterly make good points. Sachs argues that increasing foreign aid can effectively break down the poverty cycle and allow individuals to escape their poverty traps. This can happen by financing projects that improve healthcare in poor countries, like mosquito nets designed to reduce the prevalence of malaria. According to Sachs, only then will individuals be able to stand on their own feet and create the economic conditions for economic growth. Easterly’s view is basically that giving more money to poor countries will not solve the problem (a concept he has well documented in his research) and that it can actually help keep kleptocrats in power for a longer time, </w:t>
      </w:r>
      <w:r w:rsidR="0037006C">
        <w:t xml:space="preserve">thereby </w:t>
      </w:r>
      <w:r>
        <w:t>impoverishing the country even more. Easterly argues that the conditions for economic growth must grow from the bottom to the top, as opposed to the top-to-bottom approach used by international donor agencies. According to Easterly</w:t>
      </w:r>
      <w:r w:rsidR="0037006C">
        <w:t>,</w:t>
      </w:r>
      <w:r>
        <w:t xml:space="preserve"> the best way to help poor countries is to reward those who implement reforms that promote economic growth (e.g., properly enforce property rights, eliminate price controls) by funding more projects that work in terms of raising the standards of living of individuals. </w:t>
      </w:r>
    </w:p>
    <w:p w:rsidR="007C6890" w:rsidRDefault="007C6890" w:rsidP="00995859">
      <w:pPr>
        <w:pStyle w:val="H3"/>
      </w:pPr>
      <w:r>
        <w:t xml:space="preserve">Endogenous Growth Theory </w:t>
      </w:r>
    </w:p>
    <w:p w:rsidR="007C6890" w:rsidRDefault="007C6890">
      <w:pPr>
        <w:pStyle w:val="MCQList1sub"/>
        <w:spacing w:before="0"/>
      </w:pPr>
      <w:r>
        <w:tab/>
        <w:t>9.</w:t>
      </w:r>
      <w:r>
        <w:tab/>
        <w:t>a.</w:t>
      </w:r>
      <w:r>
        <w:tab/>
        <w:t xml:space="preserve">The change in technology is </w:t>
      </w:r>
      <w:r w:rsidRPr="00FF0F4F">
        <w:rPr>
          <w:position w:val="-10"/>
        </w:rPr>
        <w:object w:dxaOrig="3640" w:dyaOrig="320">
          <v:shape id="_x0000_i1029" type="#_x0000_t75" style="width:182.1pt;height:16.35pt" o:ole="">
            <v:imagedata r:id="rId14" o:title=""/>
          </v:shape>
          <o:OLEObject Type="Embed" ProgID="Equation.DSMT4" ShapeID="_x0000_i1029" DrawAspect="Content" ObjectID="_1450513049" r:id="rId15"/>
        </w:object>
      </w:r>
    </w:p>
    <w:p w:rsidR="007C6890" w:rsidRDefault="007C6890">
      <w:pPr>
        <w:pStyle w:val="MCQList2"/>
      </w:pPr>
      <w:r>
        <w:t>b.</w:t>
      </w:r>
      <w:r>
        <w:tab/>
        <w:t xml:space="preserve">The growth rate of technology is </w:t>
      </w:r>
      <w:r w:rsidRPr="00FF0F4F">
        <w:rPr>
          <w:position w:val="-28"/>
        </w:rPr>
        <w:object w:dxaOrig="4239" w:dyaOrig="639">
          <v:shape id="_x0000_i1030" type="#_x0000_t75" style="width:212.35pt;height:32.65pt" o:ole="">
            <v:imagedata r:id="rId16" o:title=""/>
          </v:shape>
          <o:OLEObject Type="Embed" ProgID="Equation.DSMT4" ShapeID="_x0000_i1030" DrawAspect="Content" ObjectID="_1450513050" r:id="rId17"/>
        </w:object>
      </w:r>
    </w:p>
    <w:p w:rsidR="007C6890" w:rsidRDefault="007C6890">
      <w:pPr>
        <w:pStyle w:val="MCQList2"/>
      </w:pPr>
      <w:r>
        <w:t>c.</w:t>
      </w:r>
      <w:r>
        <w:tab/>
        <w:t xml:space="preserve">The per-person output growth rate is </w:t>
      </w:r>
      <w:r w:rsidRPr="00FF0F4F">
        <w:rPr>
          <w:position w:val="-10"/>
        </w:rPr>
        <w:object w:dxaOrig="1820" w:dyaOrig="320">
          <v:shape id="_x0000_i1031" type="#_x0000_t75" style="width:90.75pt;height:16.35pt" o:ole="">
            <v:imagedata r:id="rId18" o:title=""/>
          </v:shape>
          <o:OLEObject Type="Embed" ProgID="Equation.DSMT4" ShapeID="_x0000_i1031" DrawAspect="Content" ObjectID="_1450513051" r:id="rId19"/>
        </w:object>
      </w:r>
    </w:p>
    <w:p w:rsidR="007C6890" w:rsidRDefault="007C6890" w:rsidP="00995859">
      <w:pPr>
        <w:pStyle w:val="H3"/>
      </w:pPr>
      <w:r>
        <w:t xml:space="preserve">Factors </w:t>
      </w:r>
      <w:r w:rsidR="0037006C">
        <w:t>T</w:t>
      </w:r>
      <w:r>
        <w:t>hat Affect Endogenous Growth</w:t>
      </w:r>
    </w:p>
    <w:p w:rsidR="007C6890" w:rsidRDefault="007C6890">
      <w:pPr>
        <w:pStyle w:val="MCQList1"/>
      </w:pPr>
      <w:r>
        <w:t>10.</w:t>
      </w:r>
      <w:r>
        <w:tab/>
        <w:t xml:space="preserve">The Industrial Revolution was a period in which technological growth increased at a fast rate. The invention of the steam machine in the late </w:t>
      </w:r>
      <w:r w:rsidR="0037006C">
        <w:t xml:space="preserve">eighteenth </w:t>
      </w:r>
      <w:r>
        <w:t xml:space="preserve">century and its many applications allowed labor and </w:t>
      </w:r>
      <w:r>
        <w:rPr>
          <w:spacing w:val="-2"/>
        </w:rPr>
        <w:t>capital to be increasingly productive. Advances in most sciences, like chemistry, physics</w:t>
      </w:r>
      <w:r w:rsidR="0037006C">
        <w:rPr>
          <w:spacing w:val="-2"/>
        </w:rPr>
        <w:t>,</w:t>
      </w:r>
      <w:r>
        <w:rPr>
          <w:spacing w:val="-2"/>
        </w:rPr>
        <w:t xml:space="preserve"> and medicine</w:t>
      </w:r>
      <w:r w:rsidR="0037006C">
        <w:rPr>
          <w:spacing w:val="-2"/>
        </w:rPr>
        <w:t>,</w:t>
      </w:r>
      <w:r>
        <w:t xml:space="preserve"> resulted in many ideas that added to the technology stock of the world economy. According to this, the world’s output per worker growth rate increased during the Industrial Revolution. Note that this was not a homogeneous process, and many regions were left out of the Industrial Revolution and did not immediately benefit from this wave of inventions and increase in technology. </w:t>
      </w:r>
    </w:p>
    <w:p w:rsidR="007C6890" w:rsidRDefault="007C6890">
      <w:pPr>
        <w:pStyle w:val="MCQList1"/>
        <w:spacing w:before="0"/>
      </w:pPr>
      <w:r>
        <w:t>11.</w:t>
      </w:r>
      <w:r>
        <w:tab/>
      </w:r>
      <w:r>
        <w:rPr>
          <w:spacing w:val="-2"/>
        </w:rPr>
        <w:t>The Cultural Revolution years in China can be interpreted as a decline in the fraction of total population</w:t>
      </w:r>
      <w:r>
        <w:t xml:space="preserve"> devoted to the production of technology (i.e., research and development). The Romer model predicts a </w:t>
      </w:r>
      <w:r>
        <w:rPr>
          <w:spacing w:val="-3"/>
        </w:rPr>
        <w:t>decrease in the growth rate of the technology factor. Not surprisingly, and consistent with the predictions</w:t>
      </w:r>
      <w:r>
        <w:t xml:space="preserve"> of the Romer model, the growth rate of output per worker decreased in China during that period. </w:t>
      </w:r>
    </w:p>
    <w:p w:rsidR="007C6890" w:rsidRDefault="007C6890">
      <w:pPr>
        <w:pStyle w:val="MCQList1"/>
      </w:pPr>
      <w:r>
        <w:t>12.</w:t>
      </w:r>
      <w:r>
        <w:tab/>
        <w:t xml:space="preserve">There are many potential “stories” that rationalize the idea that a higher population will increase incentives to spur technological change. One of them is that a higher population puts more pressure on available resources, like arable land. For the same land area, the country (or region) with the highest population will face more pressure to increase crop yields than the country (or region) with fewer people. This will increase the incentives for individuals to look for solutions to the problem of low crop yields. Note that if successful in increasing crop yields, this country will be able to sustain an even higher population and will probably face another similar challenge in the future (e.g., sources of energy). The same principle applies to the production of manufactured goods or even services. </w:t>
      </w:r>
    </w:p>
    <w:p w:rsidR="003D7A6F" w:rsidRDefault="007C6890">
      <w:pPr>
        <w:pStyle w:val="MCQList1"/>
      </w:pPr>
      <w:r>
        <w:t>13.</w:t>
      </w:r>
      <w:r>
        <w:tab/>
        <w:t xml:space="preserve">The statement is false. Both Solow’s and Romer’s models conclude that changes in the saving rate do not affect the long run (i.e., sustained) growth rate of per capita output. In the case of Solow’s model, </w:t>
      </w:r>
      <w:r>
        <w:lastRenderedPageBreak/>
        <w:t>that growth rate (in the absence of exogenous technological growth) is zero. Changes in the saving rate only affect the level of per capita output. In Romer’s model, the sustained growth rate is determined by the growth rate in technology, but it is also independent of the saving rate.</w:t>
      </w:r>
    </w:p>
    <w:p w:rsidR="003D7A6F" w:rsidRDefault="00995859" w:rsidP="003D7A6F">
      <w:pPr>
        <w:pStyle w:val="awTB01questionHead"/>
        <w:numPr>
          <w:ilvl w:val="0"/>
          <w:numId w:val="13"/>
        </w:numPr>
      </w:pPr>
      <w:r>
        <w:sym w:font="Wingdings" w:char="F06E"/>
      </w:r>
      <w:r>
        <w:t> </w:t>
      </w:r>
      <w:r w:rsidR="003D7A6F">
        <w:t>Answers to Data Analysis Problems</w:t>
      </w:r>
    </w:p>
    <w:p w:rsidR="00B019DA" w:rsidRDefault="00040950" w:rsidP="00040950">
      <w:pPr>
        <w:pStyle w:val="MCQList1sub"/>
      </w:pPr>
      <w:r>
        <w:rPr>
          <w:rFonts w:ascii="Times New Roman" w:hAnsi="Times New Roman"/>
          <w:snapToGrid/>
          <w:sz w:val="20"/>
        </w:rPr>
        <w:tab/>
        <w:t>1.</w:t>
      </w:r>
      <w:r>
        <w:rPr>
          <w:rFonts w:ascii="Times New Roman" w:hAnsi="Times New Roman"/>
          <w:snapToGrid/>
          <w:sz w:val="20"/>
        </w:rPr>
        <w:tab/>
      </w:r>
      <w:r w:rsidR="00087238">
        <w:t>a</w:t>
      </w:r>
      <w:r w:rsidR="00676BC4">
        <w:t>.</w:t>
      </w:r>
      <w:r w:rsidR="00262A00">
        <w:t>-</w:t>
      </w:r>
      <w:r w:rsidR="00B019DA">
        <w:t>c.</w:t>
      </w:r>
      <w:r w:rsidR="00B019DA">
        <w:tab/>
      </w:r>
      <w:r w:rsidR="00087238">
        <w:t>No answer shown.</w:t>
      </w:r>
    </w:p>
    <w:p w:rsidR="00040950" w:rsidRDefault="00B019DA" w:rsidP="00B019DA">
      <w:pPr>
        <w:pStyle w:val="MCQList2"/>
      </w:pPr>
      <w:r>
        <w:t>d.</w:t>
      </w:r>
      <w:r>
        <w:tab/>
      </w:r>
      <w:r w:rsidR="00087238">
        <w:t>See table below. Total factor productivity in Turkey fell sharply over this period of time, while total factor productivity increased in South Korea. The Solow model predicts that this will lead to declines in real GDP per capita in Turkey and increase real GDP per capita in South Korea, which is exactly what the data demonstrate.</w:t>
      </w:r>
      <w:r w:rsidR="00532B8F">
        <w:t xml:space="preserve"> </w:t>
      </w:r>
    </w:p>
    <w:p w:rsidR="00087238" w:rsidRDefault="00087238" w:rsidP="00040950">
      <w:pPr>
        <w:pStyle w:val="MCQList2"/>
      </w:pPr>
      <w:r>
        <w:t>e</w:t>
      </w:r>
      <w:r w:rsidR="00676BC4">
        <w:t>.</w:t>
      </w:r>
      <w:r w:rsidR="00040950">
        <w:tab/>
      </w:r>
      <w:r>
        <w:t xml:space="preserve">See table below. </w:t>
      </w:r>
    </w:p>
    <w:tbl>
      <w:tblPr>
        <w:tblW w:w="6450" w:type="dxa"/>
        <w:tblInd w:w="918" w:type="dxa"/>
        <w:tblBorders>
          <w:top w:val="single" w:sz="4" w:space="0" w:color="auto"/>
          <w:bottom w:val="single" w:sz="4" w:space="0" w:color="auto"/>
        </w:tblBorders>
        <w:tblLook w:val="04A0"/>
      </w:tblPr>
      <w:tblGrid>
        <w:gridCol w:w="2610"/>
        <w:gridCol w:w="960"/>
        <w:gridCol w:w="960"/>
        <w:gridCol w:w="960"/>
        <w:gridCol w:w="960"/>
      </w:tblGrid>
      <w:tr w:rsidR="00087238" w:rsidRPr="00040950" w:rsidTr="00B02A41">
        <w:trPr>
          <w:trHeight w:val="300"/>
        </w:trPr>
        <w:tc>
          <w:tcPr>
            <w:tcW w:w="2610" w:type="dxa"/>
            <w:tcBorders>
              <w:top w:val="single" w:sz="4" w:space="0" w:color="auto"/>
              <w:bottom w:val="single" w:sz="4" w:space="0" w:color="auto"/>
            </w:tcBorders>
            <w:noWrap/>
            <w:vAlign w:val="bottom"/>
            <w:hideMark/>
          </w:tcPr>
          <w:p w:rsidR="00087238" w:rsidRPr="00040950" w:rsidRDefault="00087238">
            <w:pPr>
              <w:rPr>
                <w:b/>
                <w:bCs/>
                <w:color w:val="000000"/>
                <w:sz w:val="22"/>
                <w:szCs w:val="22"/>
              </w:rPr>
            </w:pPr>
            <w:r w:rsidRPr="00040950">
              <w:rPr>
                <w:b/>
                <w:bCs/>
                <w:color w:val="000000"/>
              </w:rPr>
              <w:t>Country</w:t>
            </w:r>
          </w:p>
        </w:tc>
        <w:tc>
          <w:tcPr>
            <w:tcW w:w="960" w:type="dxa"/>
            <w:tcBorders>
              <w:top w:val="single" w:sz="4" w:space="0" w:color="auto"/>
              <w:bottom w:val="single" w:sz="4" w:space="0" w:color="auto"/>
            </w:tcBorders>
            <w:noWrap/>
            <w:vAlign w:val="bottom"/>
            <w:hideMark/>
          </w:tcPr>
          <w:p w:rsidR="00087238" w:rsidRPr="00040950" w:rsidRDefault="00087238">
            <w:pPr>
              <w:jc w:val="right"/>
              <w:rPr>
                <w:b/>
                <w:bCs/>
                <w:color w:val="000000"/>
                <w:sz w:val="22"/>
                <w:szCs w:val="22"/>
              </w:rPr>
            </w:pPr>
            <w:r w:rsidRPr="00040950">
              <w:rPr>
                <w:b/>
                <w:bCs/>
                <w:color w:val="000000"/>
              </w:rPr>
              <w:t>g</w:t>
            </w:r>
            <w:r w:rsidRPr="00040950">
              <w:rPr>
                <w:b/>
                <w:bCs/>
                <w:color w:val="000000"/>
                <w:vertAlign w:val="subscript"/>
              </w:rPr>
              <w:t>A</w:t>
            </w:r>
          </w:p>
        </w:tc>
        <w:tc>
          <w:tcPr>
            <w:tcW w:w="960" w:type="dxa"/>
            <w:tcBorders>
              <w:top w:val="single" w:sz="4" w:space="0" w:color="auto"/>
              <w:bottom w:val="single" w:sz="4" w:space="0" w:color="auto"/>
            </w:tcBorders>
            <w:noWrap/>
            <w:vAlign w:val="bottom"/>
            <w:hideMark/>
          </w:tcPr>
          <w:p w:rsidR="00087238" w:rsidRPr="00040950" w:rsidRDefault="00087238">
            <w:pPr>
              <w:jc w:val="right"/>
              <w:rPr>
                <w:b/>
                <w:bCs/>
                <w:color w:val="000000"/>
                <w:sz w:val="22"/>
                <w:szCs w:val="22"/>
              </w:rPr>
            </w:pPr>
            <w:r w:rsidRPr="00040950">
              <w:rPr>
                <w:b/>
                <w:bCs/>
                <w:color w:val="000000"/>
              </w:rPr>
              <w:t>g</w:t>
            </w:r>
            <w:r w:rsidRPr="00040950">
              <w:rPr>
                <w:b/>
                <w:bCs/>
                <w:color w:val="000000"/>
                <w:vertAlign w:val="subscript"/>
              </w:rPr>
              <w:t>k</w:t>
            </w:r>
          </w:p>
        </w:tc>
        <w:tc>
          <w:tcPr>
            <w:tcW w:w="960" w:type="dxa"/>
            <w:tcBorders>
              <w:top w:val="single" w:sz="4" w:space="0" w:color="auto"/>
              <w:bottom w:val="single" w:sz="4" w:space="0" w:color="auto"/>
            </w:tcBorders>
            <w:noWrap/>
            <w:vAlign w:val="bottom"/>
            <w:hideMark/>
          </w:tcPr>
          <w:p w:rsidR="00087238" w:rsidRPr="00040950" w:rsidRDefault="00087238">
            <w:pPr>
              <w:jc w:val="right"/>
              <w:rPr>
                <w:b/>
                <w:bCs/>
                <w:color w:val="000000"/>
                <w:sz w:val="22"/>
                <w:szCs w:val="22"/>
              </w:rPr>
            </w:pPr>
            <w:r w:rsidRPr="00040950">
              <w:rPr>
                <w:b/>
                <w:bCs/>
                <w:color w:val="000000"/>
              </w:rPr>
              <w:t>0.3g</w:t>
            </w:r>
            <w:r w:rsidRPr="00040950">
              <w:rPr>
                <w:b/>
                <w:bCs/>
                <w:color w:val="000000"/>
                <w:vertAlign w:val="subscript"/>
              </w:rPr>
              <w:t>k</w:t>
            </w:r>
          </w:p>
        </w:tc>
        <w:tc>
          <w:tcPr>
            <w:tcW w:w="960" w:type="dxa"/>
            <w:tcBorders>
              <w:top w:val="single" w:sz="4" w:space="0" w:color="auto"/>
              <w:bottom w:val="single" w:sz="4" w:space="0" w:color="auto"/>
            </w:tcBorders>
            <w:noWrap/>
            <w:vAlign w:val="bottom"/>
            <w:hideMark/>
          </w:tcPr>
          <w:p w:rsidR="00087238" w:rsidRPr="00040950" w:rsidRDefault="00087238">
            <w:pPr>
              <w:jc w:val="right"/>
              <w:rPr>
                <w:b/>
                <w:bCs/>
                <w:color w:val="000000"/>
                <w:sz w:val="22"/>
                <w:szCs w:val="22"/>
              </w:rPr>
            </w:pPr>
            <w:r w:rsidRPr="00040950">
              <w:rPr>
                <w:b/>
                <w:bCs/>
                <w:color w:val="000000"/>
              </w:rPr>
              <w:t>g</w:t>
            </w:r>
            <w:r w:rsidRPr="00040950">
              <w:rPr>
                <w:b/>
                <w:bCs/>
                <w:color w:val="000000"/>
                <w:vertAlign w:val="subscript"/>
              </w:rPr>
              <w:t>y</w:t>
            </w:r>
          </w:p>
        </w:tc>
      </w:tr>
      <w:tr w:rsidR="00087238" w:rsidRPr="00040950" w:rsidTr="00B02A41">
        <w:trPr>
          <w:trHeight w:val="300"/>
        </w:trPr>
        <w:tc>
          <w:tcPr>
            <w:tcW w:w="2610" w:type="dxa"/>
            <w:tcBorders>
              <w:top w:val="single" w:sz="4" w:space="0" w:color="auto"/>
            </w:tcBorders>
            <w:noWrap/>
            <w:vAlign w:val="bottom"/>
            <w:hideMark/>
          </w:tcPr>
          <w:p w:rsidR="00087238" w:rsidRPr="00040950" w:rsidRDefault="00087238" w:rsidP="00935A68">
            <w:pPr>
              <w:rPr>
                <w:color w:val="000000"/>
                <w:sz w:val="22"/>
                <w:szCs w:val="22"/>
              </w:rPr>
            </w:pPr>
            <w:r w:rsidRPr="00040950">
              <w:rPr>
                <w:color w:val="000000"/>
              </w:rPr>
              <w:t>Turkey (2000</w:t>
            </w:r>
            <w:r w:rsidR="00935A68">
              <w:rPr>
                <w:color w:val="000000"/>
              </w:rPr>
              <w:t>–</w:t>
            </w:r>
            <w:r w:rsidRPr="00040950">
              <w:rPr>
                <w:color w:val="000000"/>
              </w:rPr>
              <w:t>2011)</w:t>
            </w:r>
          </w:p>
        </w:tc>
        <w:tc>
          <w:tcPr>
            <w:tcW w:w="960" w:type="dxa"/>
            <w:tcBorders>
              <w:top w:val="single" w:sz="4" w:space="0" w:color="auto"/>
            </w:tcBorders>
            <w:noWrap/>
            <w:vAlign w:val="bottom"/>
            <w:hideMark/>
          </w:tcPr>
          <w:p w:rsidR="00087238" w:rsidRPr="00040950" w:rsidRDefault="00087238">
            <w:pPr>
              <w:jc w:val="right"/>
              <w:rPr>
                <w:color w:val="000000"/>
                <w:sz w:val="22"/>
                <w:szCs w:val="22"/>
              </w:rPr>
            </w:pPr>
            <w:r w:rsidRPr="00040950">
              <w:rPr>
                <w:color w:val="000000"/>
              </w:rPr>
              <w:t>-4.54</w:t>
            </w:r>
          </w:p>
        </w:tc>
        <w:tc>
          <w:tcPr>
            <w:tcW w:w="960" w:type="dxa"/>
            <w:tcBorders>
              <w:top w:val="single" w:sz="4" w:space="0" w:color="auto"/>
            </w:tcBorders>
            <w:noWrap/>
            <w:vAlign w:val="bottom"/>
            <w:hideMark/>
          </w:tcPr>
          <w:p w:rsidR="00087238" w:rsidRPr="00040950" w:rsidRDefault="00087238">
            <w:pPr>
              <w:jc w:val="right"/>
              <w:rPr>
                <w:color w:val="000000"/>
                <w:sz w:val="22"/>
                <w:szCs w:val="22"/>
              </w:rPr>
            </w:pPr>
            <w:r w:rsidRPr="00040950">
              <w:rPr>
                <w:color w:val="000000"/>
              </w:rPr>
              <w:t>3.89</w:t>
            </w:r>
          </w:p>
        </w:tc>
        <w:tc>
          <w:tcPr>
            <w:tcW w:w="960" w:type="dxa"/>
            <w:tcBorders>
              <w:top w:val="single" w:sz="4" w:space="0" w:color="auto"/>
            </w:tcBorders>
            <w:noWrap/>
            <w:vAlign w:val="bottom"/>
            <w:hideMark/>
          </w:tcPr>
          <w:p w:rsidR="00087238" w:rsidRPr="00040950" w:rsidRDefault="00087238">
            <w:pPr>
              <w:jc w:val="right"/>
              <w:rPr>
                <w:color w:val="000000"/>
                <w:sz w:val="22"/>
                <w:szCs w:val="22"/>
              </w:rPr>
            </w:pPr>
            <w:r w:rsidRPr="00040950">
              <w:rPr>
                <w:color w:val="000000"/>
              </w:rPr>
              <w:t>1.17</w:t>
            </w:r>
          </w:p>
        </w:tc>
        <w:tc>
          <w:tcPr>
            <w:tcW w:w="960" w:type="dxa"/>
            <w:tcBorders>
              <w:top w:val="single" w:sz="4" w:space="0" w:color="auto"/>
            </w:tcBorders>
            <w:noWrap/>
            <w:vAlign w:val="bottom"/>
            <w:hideMark/>
          </w:tcPr>
          <w:p w:rsidR="00087238" w:rsidRPr="00040950" w:rsidRDefault="00087238">
            <w:pPr>
              <w:jc w:val="right"/>
              <w:rPr>
                <w:color w:val="000000"/>
                <w:sz w:val="22"/>
                <w:szCs w:val="22"/>
              </w:rPr>
            </w:pPr>
            <w:r w:rsidRPr="00040950">
              <w:rPr>
                <w:color w:val="000000"/>
              </w:rPr>
              <w:t>-3.37</w:t>
            </w:r>
          </w:p>
        </w:tc>
      </w:tr>
      <w:tr w:rsidR="00087238" w:rsidRPr="00040950" w:rsidTr="00B02A41">
        <w:trPr>
          <w:trHeight w:val="300"/>
        </w:trPr>
        <w:tc>
          <w:tcPr>
            <w:tcW w:w="2610" w:type="dxa"/>
            <w:noWrap/>
            <w:vAlign w:val="bottom"/>
            <w:hideMark/>
          </w:tcPr>
          <w:p w:rsidR="00087238" w:rsidRPr="00040950" w:rsidRDefault="00087238" w:rsidP="00935A68">
            <w:pPr>
              <w:rPr>
                <w:color w:val="000000"/>
                <w:sz w:val="22"/>
                <w:szCs w:val="22"/>
              </w:rPr>
            </w:pPr>
            <w:r w:rsidRPr="00040950">
              <w:rPr>
                <w:color w:val="000000"/>
              </w:rPr>
              <w:t>South Korea (2000</w:t>
            </w:r>
            <w:r w:rsidR="00935A68">
              <w:rPr>
                <w:color w:val="000000"/>
              </w:rPr>
              <w:t>–</w:t>
            </w:r>
            <w:r w:rsidRPr="00040950">
              <w:rPr>
                <w:color w:val="000000"/>
              </w:rPr>
              <w:t>2011)</w:t>
            </w:r>
          </w:p>
        </w:tc>
        <w:tc>
          <w:tcPr>
            <w:tcW w:w="960" w:type="dxa"/>
            <w:noWrap/>
            <w:vAlign w:val="bottom"/>
            <w:hideMark/>
          </w:tcPr>
          <w:p w:rsidR="00087238" w:rsidRPr="00040950" w:rsidRDefault="00087238">
            <w:pPr>
              <w:jc w:val="right"/>
              <w:rPr>
                <w:color w:val="000000"/>
                <w:sz w:val="22"/>
                <w:szCs w:val="22"/>
              </w:rPr>
            </w:pPr>
            <w:r w:rsidRPr="00040950">
              <w:rPr>
                <w:color w:val="000000"/>
              </w:rPr>
              <w:t>2.62</w:t>
            </w:r>
          </w:p>
        </w:tc>
        <w:tc>
          <w:tcPr>
            <w:tcW w:w="960" w:type="dxa"/>
            <w:noWrap/>
            <w:vAlign w:val="bottom"/>
            <w:hideMark/>
          </w:tcPr>
          <w:p w:rsidR="00087238" w:rsidRPr="00040950" w:rsidRDefault="00087238">
            <w:pPr>
              <w:jc w:val="right"/>
              <w:rPr>
                <w:color w:val="000000"/>
                <w:sz w:val="22"/>
                <w:szCs w:val="22"/>
              </w:rPr>
            </w:pPr>
            <w:r w:rsidRPr="00040950">
              <w:rPr>
                <w:color w:val="000000"/>
              </w:rPr>
              <w:t>2.19</w:t>
            </w:r>
          </w:p>
        </w:tc>
        <w:tc>
          <w:tcPr>
            <w:tcW w:w="960" w:type="dxa"/>
            <w:noWrap/>
            <w:vAlign w:val="bottom"/>
            <w:hideMark/>
          </w:tcPr>
          <w:p w:rsidR="00087238" w:rsidRPr="00040950" w:rsidRDefault="00087238">
            <w:pPr>
              <w:jc w:val="right"/>
              <w:rPr>
                <w:color w:val="000000"/>
                <w:sz w:val="22"/>
                <w:szCs w:val="22"/>
              </w:rPr>
            </w:pPr>
            <w:r w:rsidRPr="00040950">
              <w:rPr>
                <w:color w:val="000000"/>
              </w:rPr>
              <w:t>0.66</w:t>
            </w:r>
          </w:p>
        </w:tc>
        <w:tc>
          <w:tcPr>
            <w:tcW w:w="960" w:type="dxa"/>
            <w:noWrap/>
            <w:vAlign w:val="bottom"/>
            <w:hideMark/>
          </w:tcPr>
          <w:p w:rsidR="00087238" w:rsidRPr="00040950" w:rsidRDefault="00087238">
            <w:pPr>
              <w:jc w:val="right"/>
              <w:rPr>
                <w:color w:val="000000"/>
                <w:sz w:val="22"/>
                <w:szCs w:val="22"/>
              </w:rPr>
            </w:pPr>
            <w:r w:rsidRPr="00040950">
              <w:rPr>
                <w:color w:val="000000"/>
              </w:rPr>
              <w:t>3.28</w:t>
            </w:r>
          </w:p>
        </w:tc>
      </w:tr>
    </w:tbl>
    <w:p w:rsidR="00B019DA" w:rsidRDefault="00E8445A" w:rsidP="00E8445A">
      <w:pPr>
        <w:pStyle w:val="MCQList1sub"/>
      </w:pPr>
      <w:r>
        <w:tab/>
        <w:t>2.</w:t>
      </w:r>
      <w:r>
        <w:tab/>
      </w:r>
      <w:r w:rsidR="00087238">
        <w:t>a</w:t>
      </w:r>
      <w:r w:rsidR="00676BC4">
        <w:t>.</w:t>
      </w:r>
      <w:r>
        <w:tab/>
      </w:r>
      <w:r w:rsidR="00087238">
        <w:t>See table below. Clearly, the countries that have overall higher economic freedom scores have much higher average growth rates of per capita real GDP than those with lower scores. Brazil, Russia, and Argentina have very large negative real GDP per capita growth, suggesting that their very poor institutions have a large impact on standard of living overall.</w:t>
      </w:r>
    </w:p>
    <w:p w:rsidR="00B019DA" w:rsidRDefault="00B019DA" w:rsidP="00B019DA">
      <w:pPr>
        <w:pStyle w:val="MCQList2"/>
      </w:pPr>
      <w:r>
        <w:t>b.</w:t>
      </w:r>
      <w:r>
        <w:tab/>
      </w:r>
      <w:r w:rsidR="00087238">
        <w:t>See table below. The countries that have the biggest movement in the Heritage index generally appear to also have the biggest movements in real GDP per capita growth. Russia and Argentina appear to be exceptions to what would be expected; in the case of Russia, its Heritage score was relatively constant during both periods</w:t>
      </w:r>
      <w:r w:rsidR="00B02A41">
        <w:t>;</w:t>
      </w:r>
      <w:r w:rsidR="00087238">
        <w:t xml:space="preserve"> however</w:t>
      </w:r>
      <w:r w:rsidR="00B02A41">
        <w:t>,</w:t>
      </w:r>
      <w:r w:rsidR="00087238">
        <w:t xml:space="preserve"> it experienced a significant turnaround in growth in standard of living associated with a sharp rise in demand for its oil production. Argentina had a sharp decline in their Heritage score compared to the earlier period, but still managed to have significantly positive growth in the standard of living in the second half of the sample period because of increased foreign demand for the commodities it produces.</w:t>
      </w:r>
    </w:p>
    <w:p w:rsidR="00087238" w:rsidRDefault="00B019DA" w:rsidP="00B019DA">
      <w:pPr>
        <w:pStyle w:val="MCQList2"/>
      </w:pPr>
      <w:r>
        <w:t>c.</w:t>
      </w:r>
      <w:r>
        <w:tab/>
      </w:r>
      <w:r w:rsidR="00087238">
        <w:t>The results from part (a) and (b) generally support the importance of institutions, transparency, and rule of law in determining total factor productivity for a country and</w:t>
      </w:r>
      <w:r w:rsidR="00B02A41">
        <w:t>,</w:t>
      </w:r>
      <w:r w:rsidR="00087238">
        <w:t xml:space="preserve"> hence</w:t>
      </w:r>
      <w:r w:rsidR="00B02A41">
        <w:t>,</w:t>
      </w:r>
      <w:r w:rsidR="00087238">
        <w:t xml:space="preserve"> sustained growth in the standard of living. Countries </w:t>
      </w:r>
      <w:r w:rsidR="00676BC4">
        <w:t>that</w:t>
      </w:r>
      <w:r w:rsidR="00087238">
        <w:t xml:space="preserve"> have weak institutions, lack transparency, and have poor rule of law suffer from low or negative TFP growth, which hurts real GDP per capita (and vice versa).</w:t>
      </w:r>
    </w:p>
    <w:tbl>
      <w:tblPr>
        <w:tblW w:w="4652" w:type="dxa"/>
        <w:tblInd w:w="918" w:type="dxa"/>
        <w:tblLook w:val="04A0"/>
      </w:tblPr>
      <w:tblGrid>
        <w:gridCol w:w="2430"/>
        <w:gridCol w:w="2222"/>
      </w:tblGrid>
      <w:tr w:rsidR="00087238" w:rsidRPr="00040950" w:rsidTr="00B02A41">
        <w:trPr>
          <w:trHeight w:val="300"/>
        </w:trPr>
        <w:tc>
          <w:tcPr>
            <w:tcW w:w="2430" w:type="dxa"/>
            <w:tcBorders>
              <w:top w:val="single" w:sz="4" w:space="0" w:color="auto"/>
              <w:bottom w:val="single" w:sz="4" w:space="0" w:color="auto"/>
            </w:tcBorders>
            <w:noWrap/>
            <w:vAlign w:val="bottom"/>
            <w:hideMark/>
          </w:tcPr>
          <w:p w:rsidR="00087238" w:rsidRPr="00040950" w:rsidRDefault="00087238">
            <w:pPr>
              <w:rPr>
                <w:b/>
                <w:bCs/>
                <w:color w:val="000000"/>
                <w:sz w:val="22"/>
                <w:szCs w:val="22"/>
              </w:rPr>
            </w:pPr>
            <w:r w:rsidRPr="00040950">
              <w:rPr>
                <w:b/>
                <w:bCs/>
                <w:color w:val="000000"/>
              </w:rPr>
              <w:t>Top Three</w:t>
            </w:r>
          </w:p>
        </w:tc>
        <w:tc>
          <w:tcPr>
            <w:tcW w:w="2222" w:type="dxa"/>
            <w:tcBorders>
              <w:top w:val="single" w:sz="4" w:space="0" w:color="auto"/>
              <w:bottom w:val="single" w:sz="4" w:space="0" w:color="auto"/>
            </w:tcBorders>
            <w:noWrap/>
            <w:vAlign w:val="bottom"/>
            <w:hideMark/>
          </w:tcPr>
          <w:p w:rsidR="00087238" w:rsidRPr="00040950" w:rsidRDefault="00087238" w:rsidP="00B02A41">
            <w:pPr>
              <w:rPr>
                <w:b/>
                <w:bCs/>
                <w:color w:val="000000"/>
                <w:sz w:val="22"/>
                <w:szCs w:val="22"/>
              </w:rPr>
            </w:pPr>
            <w:r w:rsidRPr="00040950">
              <w:rPr>
                <w:b/>
                <w:bCs/>
                <w:color w:val="000000"/>
              </w:rPr>
              <w:t>1980</w:t>
            </w:r>
            <w:r w:rsidR="00B02A41">
              <w:rPr>
                <w:b/>
                <w:bCs/>
                <w:color w:val="000000"/>
              </w:rPr>
              <w:t>–</w:t>
            </w:r>
            <w:r w:rsidRPr="00040950">
              <w:rPr>
                <w:b/>
                <w:bCs/>
                <w:color w:val="000000"/>
              </w:rPr>
              <w:t xml:space="preserve">2011 </w:t>
            </w:r>
            <w:r w:rsidR="00B02A41" w:rsidRPr="00040950">
              <w:rPr>
                <w:b/>
                <w:bCs/>
                <w:color w:val="000000"/>
              </w:rPr>
              <w:t xml:space="preserve">Average Real </w:t>
            </w:r>
            <w:r w:rsidRPr="00040950">
              <w:rPr>
                <w:b/>
                <w:bCs/>
                <w:color w:val="000000"/>
              </w:rPr>
              <w:t>GDP PC growth</w:t>
            </w:r>
          </w:p>
        </w:tc>
      </w:tr>
      <w:tr w:rsidR="00087238" w:rsidRPr="00040950" w:rsidTr="00B02A41">
        <w:trPr>
          <w:trHeight w:val="300"/>
        </w:trPr>
        <w:tc>
          <w:tcPr>
            <w:tcW w:w="2430" w:type="dxa"/>
            <w:tcBorders>
              <w:top w:val="single" w:sz="4" w:space="0" w:color="auto"/>
            </w:tcBorders>
            <w:noWrap/>
            <w:vAlign w:val="bottom"/>
            <w:hideMark/>
          </w:tcPr>
          <w:p w:rsidR="00087238" w:rsidRPr="00040950" w:rsidRDefault="00087238">
            <w:pPr>
              <w:rPr>
                <w:color w:val="000000"/>
                <w:sz w:val="22"/>
                <w:szCs w:val="22"/>
              </w:rPr>
            </w:pPr>
            <w:r w:rsidRPr="00040950">
              <w:rPr>
                <w:color w:val="000000"/>
              </w:rPr>
              <w:t>Singapore</w:t>
            </w:r>
          </w:p>
        </w:tc>
        <w:tc>
          <w:tcPr>
            <w:tcW w:w="2222" w:type="dxa"/>
            <w:tcBorders>
              <w:top w:val="single" w:sz="4" w:space="0" w:color="auto"/>
            </w:tcBorders>
            <w:noWrap/>
            <w:vAlign w:val="bottom"/>
            <w:hideMark/>
          </w:tcPr>
          <w:p w:rsidR="00087238" w:rsidRPr="00040950" w:rsidRDefault="00087238">
            <w:pPr>
              <w:jc w:val="right"/>
              <w:rPr>
                <w:color w:val="000000"/>
                <w:sz w:val="22"/>
                <w:szCs w:val="22"/>
              </w:rPr>
            </w:pPr>
            <w:r w:rsidRPr="00040950">
              <w:rPr>
                <w:color w:val="000000"/>
              </w:rPr>
              <w:t>4.39%</w:t>
            </w:r>
          </w:p>
        </w:tc>
      </w:tr>
      <w:tr w:rsidR="00087238" w:rsidRPr="00040950" w:rsidTr="00B02A41">
        <w:trPr>
          <w:trHeight w:val="300"/>
        </w:trPr>
        <w:tc>
          <w:tcPr>
            <w:tcW w:w="2430" w:type="dxa"/>
            <w:noWrap/>
            <w:vAlign w:val="bottom"/>
            <w:hideMark/>
          </w:tcPr>
          <w:p w:rsidR="00087238" w:rsidRPr="00040950" w:rsidRDefault="00087238">
            <w:pPr>
              <w:rPr>
                <w:color w:val="000000"/>
                <w:sz w:val="22"/>
                <w:szCs w:val="22"/>
              </w:rPr>
            </w:pPr>
            <w:r w:rsidRPr="00040950">
              <w:rPr>
                <w:color w:val="000000"/>
              </w:rPr>
              <w:t>Switzerland</w:t>
            </w:r>
          </w:p>
        </w:tc>
        <w:tc>
          <w:tcPr>
            <w:tcW w:w="2222" w:type="dxa"/>
            <w:noWrap/>
            <w:vAlign w:val="bottom"/>
            <w:hideMark/>
          </w:tcPr>
          <w:p w:rsidR="00087238" w:rsidRPr="00040950" w:rsidRDefault="00087238">
            <w:pPr>
              <w:jc w:val="right"/>
              <w:rPr>
                <w:color w:val="000000"/>
                <w:sz w:val="22"/>
                <w:szCs w:val="22"/>
              </w:rPr>
            </w:pPr>
            <w:r w:rsidRPr="00040950">
              <w:rPr>
                <w:color w:val="000000"/>
              </w:rPr>
              <w:t>3.77%</w:t>
            </w:r>
          </w:p>
        </w:tc>
      </w:tr>
      <w:tr w:rsidR="00087238" w:rsidRPr="00040950" w:rsidTr="00B02A41">
        <w:trPr>
          <w:trHeight w:val="300"/>
        </w:trPr>
        <w:tc>
          <w:tcPr>
            <w:tcW w:w="2430" w:type="dxa"/>
            <w:tcBorders>
              <w:top w:val="nil"/>
              <w:left w:val="nil"/>
              <w:bottom w:val="single" w:sz="4" w:space="0" w:color="auto"/>
              <w:right w:val="nil"/>
            </w:tcBorders>
            <w:noWrap/>
            <w:vAlign w:val="bottom"/>
            <w:hideMark/>
          </w:tcPr>
          <w:p w:rsidR="00087238" w:rsidRPr="00040950" w:rsidRDefault="00087238">
            <w:pPr>
              <w:rPr>
                <w:color w:val="000000"/>
                <w:sz w:val="22"/>
                <w:szCs w:val="22"/>
              </w:rPr>
            </w:pPr>
            <w:r w:rsidRPr="00040950">
              <w:rPr>
                <w:color w:val="000000"/>
              </w:rPr>
              <w:t>United States</w:t>
            </w:r>
          </w:p>
        </w:tc>
        <w:tc>
          <w:tcPr>
            <w:tcW w:w="2222" w:type="dxa"/>
            <w:tcBorders>
              <w:top w:val="nil"/>
              <w:left w:val="nil"/>
              <w:bottom w:val="single" w:sz="4" w:space="0" w:color="auto"/>
              <w:right w:val="nil"/>
            </w:tcBorders>
            <w:noWrap/>
            <w:vAlign w:val="bottom"/>
            <w:hideMark/>
          </w:tcPr>
          <w:p w:rsidR="00087238" w:rsidRPr="00040950" w:rsidRDefault="00087238">
            <w:pPr>
              <w:jc w:val="right"/>
              <w:rPr>
                <w:color w:val="000000"/>
                <w:sz w:val="22"/>
                <w:szCs w:val="22"/>
              </w:rPr>
            </w:pPr>
            <w:r w:rsidRPr="00040950">
              <w:rPr>
                <w:color w:val="000000"/>
              </w:rPr>
              <w:t>1.58%</w:t>
            </w:r>
          </w:p>
        </w:tc>
      </w:tr>
      <w:tr w:rsidR="00087238" w:rsidRPr="00040950" w:rsidTr="00B02A41">
        <w:trPr>
          <w:trHeight w:val="300"/>
        </w:trPr>
        <w:tc>
          <w:tcPr>
            <w:tcW w:w="2430" w:type="dxa"/>
            <w:noWrap/>
            <w:vAlign w:val="bottom"/>
            <w:hideMark/>
          </w:tcPr>
          <w:p w:rsidR="00087238" w:rsidRPr="00040950" w:rsidRDefault="00087238">
            <w:pPr>
              <w:rPr>
                <w:b/>
                <w:bCs/>
                <w:color w:val="000000"/>
                <w:sz w:val="22"/>
                <w:szCs w:val="22"/>
              </w:rPr>
            </w:pPr>
            <w:r w:rsidRPr="00040950">
              <w:rPr>
                <w:b/>
                <w:bCs/>
                <w:color w:val="000000"/>
              </w:rPr>
              <w:t>Top Three Average</w:t>
            </w:r>
          </w:p>
        </w:tc>
        <w:tc>
          <w:tcPr>
            <w:tcW w:w="2222" w:type="dxa"/>
            <w:noWrap/>
            <w:vAlign w:val="bottom"/>
            <w:hideMark/>
          </w:tcPr>
          <w:p w:rsidR="00087238" w:rsidRPr="00040950" w:rsidRDefault="00087238">
            <w:pPr>
              <w:jc w:val="right"/>
              <w:rPr>
                <w:color w:val="000000"/>
                <w:sz w:val="22"/>
                <w:szCs w:val="22"/>
              </w:rPr>
            </w:pPr>
            <w:r w:rsidRPr="00040950">
              <w:rPr>
                <w:color w:val="000000"/>
              </w:rPr>
              <w:t>3.25%</w:t>
            </w:r>
          </w:p>
        </w:tc>
      </w:tr>
      <w:tr w:rsidR="00087238" w:rsidRPr="00040950" w:rsidTr="00B02A41">
        <w:trPr>
          <w:trHeight w:val="300"/>
        </w:trPr>
        <w:tc>
          <w:tcPr>
            <w:tcW w:w="2430" w:type="dxa"/>
            <w:noWrap/>
            <w:vAlign w:val="bottom"/>
            <w:hideMark/>
          </w:tcPr>
          <w:p w:rsidR="00087238" w:rsidRPr="00040950" w:rsidRDefault="00087238">
            <w:pPr>
              <w:spacing w:line="276" w:lineRule="auto"/>
              <w:rPr>
                <w:sz w:val="22"/>
                <w:szCs w:val="22"/>
              </w:rPr>
            </w:pPr>
          </w:p>
        </w:tc>
        <w:tc>
          <w:tcPr>
            <w:tcW w:w="2222" w:type="dxa"/>
            <w:noWrap/>
            <w:vAlign w:val="bottom"/>
            <w:hideMark/>
          </w:tcPr>
          <w:p w:rsidR="00087238" w:rsidRPr="00040950" w:rsidRDefault="00087238">
            <w:pPr>
              <w:spacing w:line="276" w:lineRule="auto"/>
              <w:rPr>
                <w:sz w:val="22"/>
                <w:szCs w:val="22"/>
              </w:rPr>
            </w:pPr>
          </w:p>
        </w:tc>
      </w:tr>
      <w:tr w:rsidR="00087238" w:rsidRPr="00040950" w:rsidTr="00B02A41">
        <w:trPr>
          <w:trHeight w:val="300"/>
        </w:trPr>
        <w:tc>
          <w:tcPr>
            <w:tcW w:w="2430" w:type="dxa"/>
            <w:tcBorders>
              <w:bottom w:val="single" w:sz="4" w:space="0" w:color="auto"/>
            </w:tcBorders>
            <w:noWrap/>
            <w:vAlign w:val="bottom"/>
            <w:hideMark/>
          </w:tcPr>
          <w:p w:rsidR="00087238" w:rsidRPr="00040950" w:rsidRDefault="00087238">
            <w:pPr>
              <w:rPr>
                <w:b/>
                <w:bCs/>
                <w:color w:val="000000"/>
                <w:sz w:val="22"/>
                <w:szCs w:val="22"/>
              </w:rPr>
            </w:pPr>
            <w:r w:rsidRPr="00040950">
              <w:rPr>
                <w:b/>
                <w:bCs/>
                <w:color w:val="000000"/>
              </w:rPr>
              <w:t>Bottom Three</w:t>
            </w:r>
          </w:p>
        </w:tc>
        <w:tc>
          <w:tcPr>
            <w:tcW w:w="2222" w:type="dxa"/>
            <w:tcBorders>
              <w:bottom w:val="single" w:sz="4" w:space="0" w:color="auto"/>
            </w:tcBorders>
            <w:noWrap/>
            <w:vAlign w:val="bottom"/>
            <w:hideMark/>
          </w:tcPr>
          <w:p w:rsidR="00087238" w:rsidRPr="00040950" w:rsidRDefault="00087238">
            <w:pPr>
              <w:spacing w:line="276" w:lineRule="auto"/>
              <w:rPr>
                <w:sz w:val="22"/>
                <w:szCs w:val="22"/>
              </w:rPr>
            </w:pPr>
          </w:p>
        </w:tc>
      </w:tr>
      <w:tr w:rsidR="00087238" w:rsidRPr="00040950" w:rsidTr="00B02A41">
        <w:trPr>
          <w:trHeight w:val="300"/>
        </w:trPr>
        <w:tc>
          <w:tcPr>
            <w:tcW w:w="2430" w:type="dxa"/>
            <w:tcBorders>
              <w:top w:val="single" w:sz="4" w:space="0" w:color="auto"/>
            </w:tcBorders>
            <w:noWrap/>
            <w:vAlign w:val="bottom"/>
            <w:hideMark/>
          </w:tcPr>
          <w:p w:rsidR="00087238" w:rsidRPr="00040950" w:rsidRDefault="00087238">
            <w:pPr>
              <w:rPr>
                <w:color w:val="000000"/>
                <w:sz w:val="22"/>
                <w:szCs w:val="22"/>
              </w:rPr>
            </w:pPr>
            <w:r w:rsidRPr="00040950">
              <w:rPr>
                <w:color w:val="000000"/>
              </w:rPr>
              <w:t>Brazil</w:t>
            </w:r>
          </w:p>
        </w:tc>
        <w:tc>
          <w:tcPr>
            <w:tcW w:w="2222" w:type="dxa"/>
            <w:tcBorders>
              <w:top w:val="single" w:sz="4" w:space="0" w:color="auto"/>
            </w:tcBorders>
            <w:noWrap/>
            <w:vAlign w:val="bottom"/>
            <w:hideMark/>
          </w:tcPr>
          <w:p w:rsidR="00087238" w:rsidRPr="00040950" w:rsidRDefault="00B02A41">
            <w:pPr>
              <w:jc w:val="right"/>
              <w:rPr>
                <w:color w:val="000000"/>
                <w:sz w:val="22"/>
                <w:szCs w:val="22"/>
              </w:rPr>
            </w:pPr>
            <w:r>
              <w:rPr>
                <w:color w:val="000000"/>
              </w:rPr>
              <w:t>–</w:t>
            </w:r>
            <w:r w:rsidR="00087238" w:rsidRPr="00040950">
              <w:rPr>
                <w:color w:val="000000"/>
              </w:rPr>
              <w:t>34.36%</w:t>
            </w:r>
          </w:p>
        </w:tc>
      </w:tr>
      <w:tr w:rsidR="00087238" w:rsidRPr="00040950" w:rsidTr="00B02A41">
        <w:trPr>
          <w:trHeight w:val="300"/>
        </w:trPr>
        <w:tc>
          <w:tcPr>
            <w:tcW w:w="2430" w:type="dxa"/>
            <w:noWrap/>
            <w:vAlign w:val="bottom"/>
            <w:hideMark/>
          </w:tcPr>
          <w:p w:rsidR="00087238" w:rsidRPr="00040950" w:rsidRDefault="00087238">
            <w:pPr>
              <w:rPr>
                <w:color w:val="000000"/>
                <w:sz w:val="22"/>
                <w:szCs w:val="22"/>
              </w:rPr>
            </w:pPr>
            <w:r w:rsidRPr="00040950">
              <w:rPr>
                <w:color w:val="000000"/>
              </w:rPr>
              <w:t>Russia</w:t>
            </w:r>
          </w:p>
        </w:tc>
        <w:tc>
          <w:tcPr>
            <w:tcW w:w="2222" w:type="dxa"/>
            <w:noWrap/>
            <w:vAlign w:val="bottom"/>
            <w:hideMark/>
          </w:tcPr>
          <w:p w:rsidR="00087238" w:rsidRPr="00040950" w:rsidRDefault="00B02A41">
            <w:pPr>
              <w:jc w:val="right"/>
              <w:rPr>
                <w:color w:val="000000"/>
                <w:sz w:val="22"/>
                <w:szCs w:val="22"/>
              </w:rPr>
            </w:pPr>
            <w:r>
              <w:rPr>
                <w:color w:val="000000"/>
              </w:rPr>
              <w:t>–</w:t>
            </w:r>
            <w:r w:rsidR="00087238" w:rsidRPr="00040950">
              <w:rPr>
                <w:color w:val="000000"/>
              </w:rPr>
              <w:t>14.97%</w:t>
            </w:r>
          </w:p>
        </w:tc>
      </w:tr>
      <w:tr w:rsidR="00087238" w:rsidRPr="00040950" w:rsidTr="00B02A41">
        <w:trPr>
          <w:trHeight w:val="300"/>
        </w:trPr>
        <w:tc>
          <w:tcPr>
            <w:tcW w:w="2430" w:type="dxa"/>
            <w:tcBorders>
              <w:top w:val="nil"/>
              <w:left w:val="nil"/>
              <w:bottom w:val="single" w:sz="4" w:space="0" w:color="auto"/>
              <w:right w:val="nil"/>
            </w:tcBorders>
            <w:noWrap/>
            <w:vAlign w:val="bottom"/>
            <w:hideMark/>
          </w:tcPr>
          <w:p w:rsidR="00087238" w:rsidRPr="00040950" w:rsidRDefault="00087238">
            <w:pPr>
              <w:rPr>
                <w:color w:val="000000"/>
                <w:sz w:val="22"/>
                <w:szCs w:val="22"/>
              </w:rPr>
            </w:pPr>
            <w:r w:rsidRPr="00040950">
              <w:rPr>
                <w:color w:val="000000"/>
              </w:rPr>
              <w:t>Argentina</w:t>
            </w:r>
          </w:p>
        </w:tc>
        <w:tc>
          <w:tcPr>
            <w:tcW w:w="2222" w:type="dxa"/>
            <w:tcBorders>
              <w:top w:val="nil"/>
              <w:left w:val="nil"/>
              <w:bottom w:val="single" w:sz="4" w:space="0" w:color="auto"/>
              <w:right w:val="nil"/>
            </w:tcBorders>
            <w:noWrap/>
            <w:vAlign w:val="bottom"/>
            <w:hideMark/>
          </w:tcPr>
          <w:p w:rsidR="00087238" w:rsidRPr="00040950" w:rsidRDefault="00B02A41">
            <w:pPr>
              <w:jc w:val="right"/>
              <w:rPr>
                <w:color w:val="000000"/>
                <w:sz w:val="22"/>
                <w:szCs w:val="22"/>
              </w:rPr>
            </w:pPr>
            <w:r>
              <w:rPr>
                <w:color w:val="000000"/>
              </w:rPr>
              <w:t>–</w:t>
            </w:r>
            <w:r w:rsidR="00087238" w:rsidRPr="00040950">
              <w:rPr>
                <w:color w:val="000000"/>
              </w:rPr>
              <w:t>24.42%</w:t>
            </w:r>
          </w:p>
        </w:tc>
      </w:tr>
      <w:tr w:rsidR="00087238" w:rsidRPr="00040950" w:rsidTr="00B02A41">
        <w:trPr>
          <w:trHeight w:val="300"/>
        </w:trPr>
        <w:tc>
          <w:tcPr>
            <w:tcW w:w="2430" w:type="dxa"/>
            <w:tcBorders>
              <w:bottom w:val="single" w:sz="4" w:space="0" w:color="auto"/>
            </w:tcBorders>
            <w:noWrap/>
            <w:vAlign w:val="bottom"/>
            <w:hideMark/>
          </w:tcPr>
          <w:p w:rsidR="00087238" w:rsidRPr="00040950" w:rsidRDefault="00087238">
            <w:pPr>
              <w:rPr>
                <w:b/>
                <w:bCs/>
                <w:color w:val="000000"/>
                <w:sz w:val="22"/>
                <w:szCs w:val="22"/>
              </w:rPr>
            </w:pPr>
            <w:r w:rsidRPr="00040950">
              <w:rPr>
                <w:b/>
                <w:bCs/>
                <w:color w:val="000000"/>
              </w:rPr>
              <w:t>Bottom Three Average</w:t>
            </w:r>
          </w:p>
        </w:tc>
        <w:tc>
          <w:tcPr>
            <w:tcW w:w="2222" w:type="dxa"/>
            <w:tcBorders>
              <w:bottom w:val="single" w:sz="4" w:space="0" w:color="auto"/>
            </w:tcBorders>
            <w:noWrap/>
            <w:vAlign w:val="bottom"/>
            <w:hideMark/>
          </w:tcPr>
          <w:p w:rsidR="00087238" w:rsidRPr="00040950" w:rsidRDefault="00B02A41">
            <w:pPr>
              <w:jc w:val="right"/>
              <w:rPr>
                <w:color w:val="000000"/>
                <w:sz w:val="22"/>
                <w:szCs w:val="22"/>
              </w:rPr>
            </w:pPr>
            <w:r>
              <w:rPr>
                <w:color w:val="000000"/>
              </w:rPr>
              <w:t>–</w:t>
            </w:r>
            <w:r w:rsidR="00087238" w:rsidRPr="00040950">
              <w:rPr>
                <w:color w:val="000000"/>
              </w:rPr>
              <w:t>24.58%</w:t>
            </w:r>
          </w:p>
        </w:tc>
      </w:tr>
    </w:tbl>
    <w:p w:rsidR="00087238" w:rsidRDefault="00087238" w:rsidP="00087238">
      <w:pPr>
        <w:ind w:left="720"/>
      </w:pPr>
    </w:p>
    <w:tbl>
      <w:tblPr>
        <w:tblW w:w="8712" w:type="dxa"/>
        <w:tblInd w:w="936" w:type="dxa"/>
        <w:tblLook w:val="04A0"/>
      </w:tblPr>
      <w:tblGrid>
        <w:gridCol w:w="1530"/>
        <w:gridCol w:w="2228"/>
        <w:gridCol w:w="266"/>
        <w:gridCol w:w="1420"/>
        <w:gridCol w:w="960"/>
        <w:gridCol w:w="2308"/>
      </w:tblGrid>
      <w:tr w:rsidR="00087238" w:rsidRPr="00ED03AA" w:rsidTr="00B02A41">
        <w:trPr>
          <w:trHeight w:val="300"/>
        </w:trPr>
        <w:tc>
          <w:tcPr>
            <w:tcW w:w="1530" w:type="dxa"/>
            <w:tcBorders>
              <w:top w:val="single" w:sz="4" w:space="0" w:color="auto"/>
              <w:bottom w:val="single" w:sz="4" w:space="0" w:color="auto"/>
            </w:tcBorders>
            <w:noWrap/>
            <w:vAlign w:val="bottom"/>
            <w:hideMark/>
          </w:tcPr>
          <w:p w:rsidR="00087238" w:rsidRPr="00ED03AA" w:rsidRDefault="00087238" w:rsidP="00995859">
            <w:pPr>
              <w:keepNext/>
              <w:jc w:val="center"/>
              <w:rPr>
                <w:b/>
                <w:bCs/>
                <w:color w:val="000000"/>
                <w:sz w:val="22"/>
                <w:szCs w:val="22"/>
              </w:rPr>
            </w:pPr>
            <w:r w:rsidRPr="00ED03AA">
              <w:rPr>
                <w:b/>
                <w:bCs/>
                <w:color w:val="000000"/>
              </w:rPr>
              <w:lastRenderedPageBreak/>
              <w:t>Three Static</w:t>
            </w:r>
          </w:p>
        </w:tc>
        <w:tc>
          <w:tcPr>
            <w:tcW w:w="2494" w:type="dxa"/>
            <w:gridSpan w:val="2"/>
            <w:tcBorders>
              <w:top w:val="single" w:sz="4" w:space="0" w:color="auto"/>
              <w:bottom w:val="single" w:sz="4" w:space="0" w:color="auto"/>
            </w:tcBorders>
            <w:noWrap/>
            <w:vAlign w:val="bottom"/>
            <w:hideMark/>
          </w:tcPr>
          <w:p w:rsidR="00087238" w:rsidRPr="00ED03AA" w:rsidRDefault="00087238" w:rsidP="00B02A41">
            <w:pPr>
              <w:keepNext/>
              <w:jc w:val="center"/>
              <w:rPr>
                <w:b/>
                <w:bCs/>
                <w:color w:val="000000"/>
                <w:sz w:val="22"/>
                <w:szCs w:val="22"/>
              </w:rPr>
            </w:pPr>
            <w:r w:rsidRPr="00ED03AA">
              <w:rPr>
                <w:b/>
                <w:bCs/>
                <w:color w:val="000000"/>
              </w:rPr>
              <w:t>1995</w:t>
            </w:r>
            <w:r w:rsidR="00B02A41">
              <w:rPr>
                <w:b/>
                <w:bCs/>
                <w:color w:val="000000"/>
              </w:rPr>
              <w:t>–</w:t>
            </w:r>
            <w:r w:rsidRPr="00ED03AA">
              <w:rPr>
                <w:b/>
                <w:bCs/>
                <w:color w:val="000000"/>
              </w:rPr>
              <w:t>2004 Average Real GDP PC Growth</w:t>
            </w:r>
          </w:p>
        </w:tc>
        <w:tc>
          <w:tcPr>
            <w:tcW w:w="1420" w:type="dxa"/>
            <w:tcBorders>
              <w:top w:val="single" w:sz="4" w:space="0" w:color="auto"/>
              <w:bottom w:val="single" w:sz="4" w:space="0" w:color="auto"/>
            </w:tcBorders>
            <w:noWrap/>
            <w:vAlign w:val="bottom"/>
            <w:hideMark/>
          </w:tcPr>
          <w:p w:rsidR="00087238" w:rsidRPr="00ED03AA" w:rsidRDefault="00087238" w:rsidP="00B02A41">
            <w:pPr>
              <w:keepNext/>
              <w:jc w:val="center"/>
              <w:rPr>
                <w:b/>
                <w:bCs/>
                <w:color w:val="000000"/>
                <w:sz w:val="22"/>
                <w:szCs w:val="22"/>
              </w:rPr>
            </w:pPr>
            <w:r w:rsidRPr="00ED03AA">
              <w:rPr>
                <w:b/>
                <w:bCs/>
                <w:color w:val="000000"/>
              </w:rPr>
              <w:t>2005</w:t>
            </w:r>
            <w:r w:rsidR="00B02A41">
              <w:rPr>
                <w:b/>
                <w:bCs/>
                <w:color w:val="000000"/>
              </w:rPr>
              <w:t>–</w:t>
            </w:r>
            <w:r w:rsidRPr="00ED03AA">
              <w:rPr>
                <w:b/>
                <w:bCs/>
                <w:color w:val="000000"/>
              </w:rPr>
              <w:t>2011 Average Real GDP PC Growth</w:t>
            </w:r>
          </w:p>
        </w:tc>
        <w:tc>
          <w:tcPr>
            <w:tcW w:w="960" w:type="dxa"/>
            <w:tcBorders>
              <w:top w:val="single" w:sz="4" w:space="0" w:color="auto"/>
              <w:bottom w:val="single" w:sz="4" w:space="0" w:color="auto"/>
            </w:tcBorders>
            <w:noWrap/>
            <w:vAlign w:val="bottom"/>
            <w:hideMark/>
          </w:tcPr>
          <w:p w:rsidR="00087238" w:rsidRPr="00ED03AA" w:rsidRDefault="00087238" w:rsidP="00995859">
            <w:pPr>
              <w:keepNext/>
              <w:jc w:val="center"/>
              <w:rPr>
                <w:b/>
                <w:bCs/>
                <w:color w:val="000000"/>
                <w:sz w:val="22"/>
                <w:szCs w:val="22"/>
              </w:rPr>
            </w:pPr>
            <w:r w:rsidRPr="00ED03AA">
              <w:rPr>
                <w:b/>
                <w:bCs/>
                <w:color w:val="000000"/>
              </w:rPr>
              <w:t>Growth Rate Change</w:t>
            </w:r>
          </w:p>
        </w:tc>
        <w:tc>
          <w:tcPr>
            <w:tcW w:w="2308" w:type="dxa"/>
            <w:tcBorders>
              <w:top w:val="single" w:sz="4" w:space="0" w:color="auto"/>
              <w:bottom w:val="single" w:sz="4" w:space="0" w:color="auto"/>
            </w:tcBorders>
            <w:noWrap/>
            <w:vAlign w:val="bottom"/>
            <w:hideMark/>
          </w:tcPr>
          <w:p w:rsidR="00087238" w:rsidRPr="00ED03AA" w:rsidRDefault="00087238" w:rsidP="00B02A41">
            <w:pPr>
              <w:keepNext/>
              <w:jc w:val="center"/>
              <w:rPr>
                <w:b/>
                <w:bCs/>
                <w:color w:val="000000"/>
                <w:sz w:val="22"/>
                <w:szCs w:val="22"/>
              </w:rPr>
            </w:pPr>
            <w:r w:rsidRPr="00ED03AA">
              <w:rPr>
                <w:b/>
                <w:bCs/>
                <w:color w:val="000000"/>
              </w:rPr>
              <w:t>2000</w:t>
            </w:r>
            <w:r w:rsidR="00B02A41">
              <w:rPr>
                <w:b/>
                <w:bCs/>
                <w:color w:val="000000"/>
              </w:rPr>
              <w:t>–</w:t>
            </w:r>
            <w:r w:rsidRPr="00ED03AA">
              <w:rPr>
                <w:b/>
                <w:bCs/>
                <w:color w:val="000000"/>
              </w:rPr>
              <w:t>2013 Heritage Change</w:t>
            </w:r>
          </w:p>
        </w:tc>
      </w:tr>
      <w:tr w:rsidR="00087238" w:rsidRPr="00ED03AA" w:rsidTr="00B02A41">
        <w:trPr>
          <w:trHeight w:val="300"/>
        </w:trPr>
        <w:tc>
          <w:tcPr>
            <w:tcW w:w="1530" w:type="dxa"/>
            <w:tcBorders>
              <w:top w:val="single" w:sz="4" w:space="0" w:color="auto"/>
            </w:tcBorders>
            <w:noWrap/>
            <w:vAlign w:val="bottom"/>
            <w:hideMark/>
          </w:tcPr>
          <w:p w:rsidR="00087238" w:rsidRPr="00ED03AA" w:rsidRDefault="00087238">
            <w:pPr>
              <w:rPr>
                <w:color w:val="000000"/>
                <w:sz w:val="22"/>
                <w:szCs w:val="22"/>
              </w:rPr>
            </w:pPr>
            <w:r w:rsidRPr="00ED03AA">
              <w:rPr>
                <w:color w:val="000000"/>
              </w:rPr>
              <w:t>Singapore</w:t>
            </w:r>
          </w:p>
        </w:tc>
        <w:tc>
          <w:tcPr>
            <w:tcW w:w="2228" w:type="dxa"/>
            <w:tcBorders>
              <w:top w:val="single" w:sz="4" w:space="0" w:color="auto"/>
            </w:tcBorders>
            <w:noWrap/>
            <w:vAlign w:val="bottom"/>
            <w:hideMark/>
          </w:tcPr>
          <w:p w:rsidR="00087238" w:rsidRPr="00ED03AA" w:rsidRDefault="00087238" w:rsidP="00ED03AA">
            <w:pPr>
              <w:tabs>
                <w:tab w:val="decimal" w:pos="1054"/>
              </w:tabs>
              <w:rPr>
                <w:color w:val="000000"/>
                <w:sz w:val="22"/>
                <w:szCs w:val="22"/>
              </w:rPr>
            </w:pPr>
            <w:r w:rsidRPr="00ED03AA">
              <w:rPr>
                <w:color w:val="000000"/>
              </w:rPr>
              <w:t>3.28%</w:t>
            </w:r>
          </w:p>
        </w:tc>
        <w:tc>
          <w:tcPr>
            <w:tcW w:w="266" w:type="dxa"/>
            <w:tcBorders>
              <w:top w:val="single" w:sz="4" w:space="0" w:color="auto"/>
            </w:tcBorders>
            <w:noWrap/>
            <w:vAlign w:val="bottom"/>
            <w:hideMark/>
          </w:tcPr>
          <w:p w:rsidR="00087238" w:rsidRPr="00ED03AA" w:rsidRDefault="00087238" w:rsidP="00ED03AA">
            <w:pPr>
              <w:spacing w:line="276" w:lineRule="auto"/>
              <w:rPr>
                <w:sz w:val="22"/>
                <w:szCs w:val="22"/>
              </w:rPr>
            </w:pPr>
          </w:p>
        </w:tc>
        <w:tc>
          <w:tcPr>
            <w:tcW w:w="1420" w:type="dxa"/>
            <w:tcBorders>
              <w:top w:val="single" w:sz="4" w:space="0" w:color="auto"/>
            </w:tcBorders>
            <w:noWrap/>
            <w:vAlign w:val="bottom"/>
            <w:hideMark/>
          </w:tcPr>
          <w:p w:rsidR="00087238" w:rsidRPr="00ED03AA" w:rsidRDefault="00087238" w:rsidP="00ED03AA">
            <w:pPr>
              <w:tabs>
                <w:tab w:val="decimal" w:pos="530"/>
              </w:tabs>
              <w:rPr>
                <w:color w:val="000000"/>
                <w:sz w:val="22"/>
                <w:szCs w:val="22"/>
              </w:rPr>
            </w:pPr>
            <w:r w:rsidRPr="00ED03AA">
              <w:rPr>
                <w:color w:val="000000"/>
              </w:rPr>
              <w:t>3.24%</w:t>
            </w:r>
          </w:p>
        </w:tc>
        <w:tc>
          <w:tcPr>
            <w:tcW w:w="960" w:type="dxa"/>
            <w:tcBorders>
              <w:top w:val="single" w:sz="4" w:space="0" w:color="auto"/>
            </w:tcBorders>
            <w:noWrap/>
            <w:vAlign w:val="bottom"/>
            <w:hideMark/>
          </w:tcPr>
          <w:p w:rsidR="00087238" w:rsidRPr="00ED03AA" w:rsidRDefault="00B02A41" w:rsidP="00ED03AA">
            <w:pPr>
              <w:tabs>
                <w:tab w:val="decimal" w:pos="280"/>
              </w:tabs>
              <w:rPr>
                <w:color w:val="000000"/>
                <w:sz w:val="22"/>
                <w:szCs w:val="22"/>
              </w:rPr>
            </w:pPr>
            <w:r>
              <w:rPr>
                <w:color w:val="000000"/>
              </w:rPr>
              <w:t>–</w:t>
            </w:r>
            <w:r w:rsidR="00087238" w:rsidRPr="00ED03AA">
              <w:rPr>
                <w:color w:val="000000"/>
              </w:rPr>
              <w:t>0.04%</w:t>
            </w:r>
          </w:p>
        </w:tc>
        <w:tc>
          <w:tcPr>
            <w:tcW w:w="2308" w:type="dxa"/>
            <w:tcBorders>
              <w:top w:val="single" w:sz="4" w:space="0" w:color="auto"/>
            </w:tcBorders>
            <w:noWrap/>
            <w:vAlign w:val="bottom"/>
            <w:hideMark/>
          </w:tcPr>
          <w:p w:rsidR="00087238" w:rsidRPr="00ED03AA" w:rsidRDefault="00087238" w:rsidP="00ED03AA">
            <w:pPr>
              <w:tabs>
                <w:tab w:val="decimal" w:pos="1082"/>
              </w:tabs>
              <w:rPr>
                <w:color w:val="000000"/>
                <w:sz w:val="22"/>
                <w:szCs w:val="22"/>
              </w:rPr>
            </w:pPr>
            <w:r w:rsidRPr="00ED03AA">
              <w:rPr>
                <w:color w:val="000000"/>
              </w:rPr>
              <w:t>0.3</w:t>
            </w:r>
          </w:p>
        </w:tc>
      </w:tr>
      <w:tr w:rsidR="00087238" w:rsidRPr="00ED03AA" w:rsidTr="00B02A41">
        <w:trPr>
          <w:trHeight w:val="300"/>
        </w:trPr>
        <w:tc>
          <w:tcPr>
            <w:tcW w:w="1530" w:type="dxa"/>
            <w:noWrap/>
            <w:vAlign w:val="bottom"/>
            <w:hideMark/>
          </w:tcPr>
          <w:p w:rsidR="00087238" w:rsidRPr="00ED03AA" w:rsidRDefault="00087238">
            <w:pPr>
              <w:rPr>
                <w:color w:val="000000"/>
                <w:sz w:val="22"/>
                <w:szCs w:val="22"/>
              </w:rPr>
            </w:pPr>
            <w:r w:rsidRPr="00ED03AA">
              <w:rPr>
                <w:color w:val="000000"/>
              </w:rPr>
              <w:t>United States</w:t>
            </w:r>
          </w:p>
        </w:tc>
        <w:tc>
          <w:tcPr>
            <w:tcW w:w="2228" w:type="dxa"/>
            <w:noWrap/>
            <w:vAlign w:val="bottom"/>
            <w:hideMark/>
          </w:tcPr>
          <w:p w:rsidR="00087238" w:rsidRPr="00ED03AA" w:rsidRDefault="00087238" w:rsidP="00ED03AA">
            <w:pPr>
              <w:tabs>
                <w:tab w:val="decimal" w:pos="1054"/>
              </w:tabs>
              <w:rPr>
                <w:color w:val="000000"/>
                <w:sz w:val="22"/>
                <w:szCs w:val="22"/>
              </w:rPr>
            </w:pPr>
            <w:r w:rsidRPr="00ED03AA">
              <w:rPr>
                <w:color w:val="000000"/>
              </w:rPr>
              <w:t>2.18%</w:t>
            </w:r>
          </w:p>
        </w:tc>
        <w:tc>
          <w:tcPr>
            <w:tcW w:w="266" w:type="dxa"/>
            <w:noWrap/>
            <w:vAlign w:val="bottom"/>
            <w:hideMark/>
          </w:tcPr>
          <w:p w:rsidR="00087238" w:rsidRPr="00ED03AA" w:rsidRDefault="00087238" w:rsidP="00ED03AA">
            <w:pPr>
              <w:spacing w:line="276" w:lineRule="auto"/>
              <w:rPr>
                <w:sz w:val="22"/>
                <w:szCs w:val="22"/>
              </w:rPr>
            </w:pPr>
          </w:p>
        </w:tc>
        <w:tc>
          <w:tcPr>
            <w:tcW w:w="1420" w:type="dxa"/>
            <w:noWrap/>
            <w:vAlign w:val="bottom"/>
            <w:hideMark/>
          </w:tcPr>
          <w:p w:rsidR="00087238" w:rsidRPr="00ED03AA" w:rsidRDefault="00087238" w:rsidP="00ED03AA">
            <w:pPr>
              <w:tabs>
                <w:tab w:val="decimal" w:pos="530"/>
              </w:tabs>
              <w:rPr>
                <w:color w:val="000000"/>
                <w:sz w:val="22"/>
                <w:szCs w:val="22"/>
              </w:rPr>
            </w:pPr>
            <w:r w:rsidRPr="00ED03AA">
              <w:rPr>
                <w:color w:val="000000"/>
              </w:rPr>
              <w:t>0.31%</w:t>
            </w:r>
          </w:p>
        </w:tc>
        <w:tc>
          <w:tcPr>
            <w:tcW w:w="960" w:type="dxa"/>
            <w:noWrap/>
            <w:vAlign w:val="bottom"/>
            <w:hideMark/>
          </w:tcPr>
          <w:p w:rsidR="00087238" w:rsidRPr="00ED03AA" w:rsidRDefault="00B02A41" w:rsidP="00ED03AA">
            <w:pPr>
              <w:tabs>
                <w:tab w:val="decimal" w:pos="280"/>
              </w:tabs>
              <w:rPr>
                <w:color w:val="000000"/>
                <w:sz w:val="22"/>
                <w:szCs w:val="22"/>
              </w:rPr>
            </w:pPr>
            <w:r>
              <w:rPr>
                <w:color w:val="000000"/>
              </w:rPr>
              <w:t>–</w:t>
            </w:r>
            <w:r w:rsidR="00087238" w:rsidRPr="00ED03AA">
              <w:rPr>
                <w:color w:val="000000"/>
              </w:rPr>
              <w:t>1.87%</w:t>
            </w:r>
          </w:p>
        </w:tc>
        <w:tc>
          <w:tcPr>
            <w:tcW w:w="2308" w:type="dxa"/>
            <w:noWrap/>
            <w:vAlign w:val="bottom"/>
            <w:hideMark/>
          </w:tcPr>
          <w:p w:rsidR="00087238" w:rsidRPr="00ED03AA" w:rsidRDefault="00B02A41" w:rsidP="00ED03AA">
            <w:pPr>
              <w:tabs>
                <w:tab w:val="decimal" w:pos="1082"/>
              </w:tabs>
              <w:rPr>
                <w:color w:val="000000"/>
                <w:sz w:val="22"/>
                <w:szCs w:val="22"/>
              </w:rPr>
            </w:pPr>
            <w:r>
              <w:rPr>
                <w:color w:val="000000"/>
              </w:rPr>
              <w:t>–</w:t>
            </w:r>
            <w:r w:rsidR="00087238" w:rsidRPr="00ED03AA">
              <w:rPr>
                <w:color w:val="000000"/>
              </w:rPr>
              <w:t>0.4</w:t>
            </w:r>
          </w:p>
        </w:tc>
      </w:tr>
      <w:tr w:rsidR="00087238" w:rsidRPr="00ED03AA" w:rsidTr="00B02A41">
        <w:trPr>
          <w:trHeight w:val="300"/>
        </w:trPr>
        <w:tc>
          <w:tcPr>
            <w:tcW w:w="1530" w:type="dxa"/>
            <w:tcBorders>
              <w:top w:val="nil"/>
              <w:left w:val="nil"/>
              <w:bottom w:val="single" w:sz="4" w:space="0" w:color="auto"/>
              <w:right w:val="nil"/>
            </w:tcBorders>
            <w:noWrap/>
            <w:vAlign w:val="bottom"/>
            <w:hideMark/>
          </w:tcPr>
          <w:p w:rsidR="00087238" w:rsidRPr="00ED03AA" w:rsidRDefault="00087238">
            <w:pPr>
              <w:rPr>
                <w:color w:val="000000"/>
                <w:sz w:val="22"/>
                <w:szCs w:val="22"/>
              </w:rPr>
            </w:pPr>
            <w:r w:rsidRPr="00ED03AA">
              <w:rPr>
                <w:color w:val="000000"/>
              </w:rPr>
              <w:t>Russia</w:t>
            </w:r>
          </w:p>
        </w:tc>
        <w:tc>
          <w:tcPr>
            <w:tcW w:w="2228" w:type="dxa"/>
            <w:tcBorders>
              <w:top w:val="nil"/>
              <w:left w:val="nil"/>
              <w:bottom w:val="single" w:sz="4" w:space="0" w:color="auto"/>
              <w:right w:val="nil"/>
            </w:tcBorders>
            <w:noWrap/>
            <w:vAlign w:val="bottom"/>
            <w:hideMark/>
          </w:tcPr>
          <w:p w:rsidR="00087238" w:rsidRPr="00ED03AA" w:rsidRDefault="00B02A41" w:rsidP="00ED03AA">
            <w:pPr>
              <w:tabs>
                <w:tab w:val="decimal" w:pos="1054"/>
              </w:tabs>
              <w:rPr>
                <w:color w:val="000000"/>
                <w:sz w:val="22"/>
                <w:szCs w:val="22"/>
              </w:rPr>
            </w:pPr>
            <w:r>
              <w:rPr>
                <w:color w:val="000000"/>
              </w:rPr>
              <w:t>–</w:t>
            </w:r>
            <w:r w:rsidR="00087238" w:rsidRPr="00ED03AA">
              <w:rPr>
                <w:color w:val="000000"/>
              </w:rPr>
              <w:t>17.75%</w:t>
            </w:r>
          </w:p>
        </w:tc>
        <w:tc>
          <w:tcPr>
            <w:tcW w:w="266" w:type="dxa"/>
            <w:tcBorders>
              <w:top w:val="nil"/>
              <w:left w:val="nil"/>
              <w:bottom w:val="single" w:sz="4" w:space="0" w:color="auto"/>
              <w:right w:val="nil"/>
            </w:tcBorders>
            <w:noWrap/>
            <w:vAlign w:val="bottom"/>
            <w:hideMark/>
          </w:tcPr>
          <w:p w:rsidR="00087238" w:rsidRPr="00ED03AA" w:rsidRDefault="00087238" w:rsidP="00ED03AA">
            <w:pPr>
              <w:rPr>
                <w:color w:val="000000"/>
                <w:sz w:val="22"/>
                <w:szCs w:val="22"/>
              </w:rPr>
            </w:pPr>
            <w:r w:rsidRPr="00ED03AA">
              <w:rPr>
                <w:color w:val="000000"/>
              </w:rPr>
              <w:t> </w:t>
            </w:r>
          </w:p>
        </w:tc>
        <w:tc>
          <w:tcPr>
            <w:tcW w:w="1420" w:type="dxa"/>
            <w:tcBorders>
              <w:top w:val="nil"/>
              <w:left w:val="nil"/>
              <w:bottom w:val="single" w:sz="4" w:space="0" w:color="auto"/>
              <w:right w:val="nil"/>
            </w:tcBorders>
            <w:noWrap/>
            <w:vAlign w:val="bottom"/>
            <w:hideMark/>
          </w:tcPr>
          <w:p w:rsidR="00087238" w:rsidRPr="00ED03AA" w:rsidRDefault="00087238" w:rsidP="00ED03AA">
            <w:pPr>
              <w:tabs>
                <w:tab w:val="decimal" w:pos="530"/>
              </w:tabs>
              <w:rPr>
                <w:color w:val="000000"/>
                <w:sz w:val="22"/>
                <w:szCs w:val="22"/>
              </w:rPr>
            </w:pPr>
            <w:r w:rsidRPr="00ED03AA">
              <w:rPr>
                <w:color w:val="000000"/>
              </w:rPr>
              <w:t>8.71%</w:t>
            </w:r>
          </w:p>
        </w:tc>
        <w:tc>
          <w:tcPr>
            <w:tcW w:w="960" w:type="dxa"/>
            <w:tcBorders>
              <w:top w:val="nil"/>
              <w:left w:val="nil"/>
              <w:bottom w:val="single" w:sz="4" w:space="0" w:color="auto"/>
              <w:right w:val="nil"/>
            </w:tcBorders>
            <w:noWrap/>
            <w:vAlign w:val="bottom"/>
            <w:hideMark/>
          </w:tcPr>
          <w:p w:rsidR="00087238" w:rsidRPr="00ED03AA" w:rsidRDefault="00087238" w:rsidP="00ED03AA">
            <w:pPr>
              <w:tabs>
                <w:tab w:val="decimal" w:pos="280"/>
              </w:tabs>
              <w:rPr>
                <w:color w:val="000000"/>
                <w:sz w:val="22"/>
                <w:szCs w:val="22"/>
              </w:rPr>
            </w:pPr>
            <w:r w:rsidRPr="00ED03AA">
              <w:rPr>
                <w:color w:val="000000"/>
              </w:rPr>
              <w:t>26.46%</w:t>
            </w:r>
          </w:p>
        </w:tc>
        <w:tc>
          <w:tcPr>
            <w:tcW w:w="2308" w:type="dxa"/>
            <w:tcBorders>
              <w:top w:val="nil"/>
              <w:left w:val="nil"/>
              <w:bottom w:val="single" w:sz="4" w:space="0" w:color="auto"/>
              <w:right w:val="nil"/>
            </w:tcBorders>
            <w:noWrap/>
            <w:vAlign w:val="bottom"/>
            <w:hideMark/>
          </w:tcPr>
          <w:p w:rsidR="00087238" w:rsidRPr="00ED03AA" w:rsidRDefault="00B02A41" w:rsidP="00ED03AA">
            <w:pPr>
              <w:tabs>
                <w:tab w:val="decimal" w:pos="1082"/>
              </w:tabs>
              <w:rPr>
                <w:color w:val="000000"/>
                <w:sz w:val="22"/>
                <w:szCs w:val="22"/>
              </w:rPr>
            </w:pPr>
            <w:r>
              <w:rPr>
                <w:color w:val="000000"/>
              </w:rPr>
              <w:t>–</w:t>
            </w:r>
            <w:r w:rsidR="00087238" w:rsidRPr="00ED03AA">
              <w:rPr>
                <w:color w:val="000000"/>
              </w:rPr>
              <w:t>0.7</w:t>
            </w:r>
          </w:p>
        </w:tc>
      </w:tr>
      <w:tr w:rsidR="00087238" w:rsidRPr="00ED03AA" w:rsidTr="00B02A41">
        <w:trPr>
          <w:trHeight w:val="300"/>
        </w:trPr>
        <w:tc>
          <w:tcPr>
            <w:tcW w:w="1530" w:type="dxa"/>
            <w:noWrap/>
            <w:vAlign w:val="bottom"/>
            <w:hideMark/>
          </w:tcPr>
          <w:p w:rsidR="00087238" w:rsidRPr="00ED03AA" w:rsidRDefault="00087238">
            <w:pPr>
              <w:spacing w:line="276" w:lineRule="auto"/>
              <w:rPr>
                <w:sz w:val="22"/>
                <w:szCs w:val="22"/>
              </w:rPr>
            </w:pPr>
          </w:p>
        </w:tc>
        <w:tc>
          <w:tcPr>
            <w:tcW w:w="2228" w:type="dxa"/>
            <w:noWrap/>
            <w:vAlign w:val="bottom"/>
            <w:hideMark/>
          </w:tcPr>
          <w:p w:rsidR="00087238" w:rsidRPr="00ED03AA" w:rsidRDefault="00087238" w:rsidP="00ED03AA">
            <w:pPr>
              <w:tabs>
                <w:tab w:val="decimal" w:pos="1054"/>
              </w:tabs>
              <w:spacing w:line="276" w:lineRule="auto"/>
              <w:rPr>
                <w:sz w:val="22"/>
                <w:szCs w:val="22"/>
              </w:rPr>
            </w:pPr>
          </w:p>
        </w:tc>
        <w:tc>
          <w:tcPr>
            <w:tcW w:w="266" w:type="dxa"/>
            <w:noWrap/>
            <w:vAlign w:val="bottom"/>
            <w:hideMark/>
          </w:tcPr>
          <w:p w:rsidR="00087238" w:rsidRPr="00ED03AA" w:rsidRDefault="00087238" w:rsidP="00ED03AA">
            <w:pPr>
              <w:spacing w:line="276" w:lineRule="auto"/>
              <w:rPr>
                <w:sz w:val="22"/>
                <w:szCs w:val="22"/>
              </w:rPr>
            </w:pPr>
          </w:p>
        </w:tc>
        <w:tc>
          <w:tcPr>
            <w:tcW w:w="1420" w:type="dxa"/>
            <w:noWrap/>
            <w:vAlign w:val="bottom"/>
            <w:hideMark/>
          </w:tcPr>
          <w:p w:rsidR="00087238" w:rsidRPr="00ED03AA" w:rsidRDefault="00087238" w:rsidP="00ED03AA">
            <w:pPr>
              <w:tabs>
                <w:tab w:val="decimal" w:pos="530"/>
              </w:tabs>
              <w:spacing w:line="276" w:lineRule="auto"/>
              <w:rPr>
                <w:sz w:val="22"/>
                <w:szCs w:val="22"/>
              </w:rPr>
            </w:pPr>
          </w:p>
        </w:tc>
        <w:tc>
          <w:tcPr>
            <w:tcW w:w="960" w:type="dxa"/>
            <w:noWrap/>
            <w:vAlign w:val="bottom"/>
            <w:hideMark/>
          </w:tcPr>
          <w:p w:rsidR="00087238" w:rsidRPr="00ED03AA" w:rsidRDefault="00087238" w:rsidP="00ED03AA">
            <w:pPr>
              <w:tabs>
                <w:tab w:val="decimal" w:pos="280"/>
              </w:tabs>
              <w:spacing w:line="276" w:lineRule="auto"/>
              <w:rPr>
                <w:sz w:val="22"/>
                <w:szCs w:val="22"/>
              </w:rPr>
            </w:pPr>
          </w:p>
        </w:tc>
        <w:tc>
          <w:tcPr>
            <w:tcW w:w="2308" w:type="dxa"/>
            <w:noWrap/>
            <w:vAlign w:val="bottom"/>
            <w:hideMark/>
          </w:tcPr>
          <w:p w:rsidR="00087238" w:rsidRPr="00ED03AA" w:rsidRDefault="00087238" w:rsidP="00ED03AA">
            <w:pPr>
              <w:tabs>
                <w:tab w:val="decimal" w:pos="1082"/>
              </w:tabs>
              <w:spacing w:line="276" w:lineRule="auto"/>
              <w:rPr>
                <w:sz w:val="22"/>
                <w:szCs w:val="22"/>
              </w:rPr>
            </w:pPr>
          </w:p>
        </w:tc>
      </w:tr>
      <w:tr w:rsidR="00087238" w:rsidRPr="00ED03AA" w:rsidTr="00D272CB">
        <w:trPr>
          <w:trHeight w:val="300"/>
        </w:trPr>
        <w:tc>
          <w:tcPr>
            <w:tcW w:w="1530" w:type="dxa"/>
            <w:tcBorders>
              <w:bottom w:val="single" w:sz="4" w:space="0" w:color="auto"/>
            </w:tcBorders>
            <w:noWrap/>
            <w:vAlign w:val="bottom"/>
            <w:hideMark/>
          </w:tcPr>
          <w:p w:rsidR="00087238" w:rsidRPr="00ED03AA" w:rsidRDefault="00087238">
            <w:pPr>
              <w:rPr>
                <w:b/>
                <w:bCs/>
                <w:color w:val="000000"/>
                <w:sz w:val="22"/>
                <w:szCs w:val="22"/>
              </w:rPr>
            </w:pPr>
            <w:r w:rsidRPr="00ED03AA">
              <w:rPr>
                <w:b/>
                <w:bCs/>
                <w:color w:val="000000"/>
              </w:rPr>
              <w:t>Three Movers</w:t>
            </w:r>
          </w:p>
        </w:tc>
        <w:tc>
          <w:tcPr>
            <w:tcW w:w="2228" w:type="dxa"/>
            <w:tcBorders>
              <w:bottom w:val="single" w:sz="4" w:space="0" w:color="auto"/>
            </w:tcBorders>
            <w:noWrap/>
            <w:vAlign w:val="bottom"/>
            <w:hideMark/>
          </w:tcPr>
          <w:p w:rsidR="00087238" w:rsidRPr="00ED03AA" w:rsidRDefault="00087238" w:rsidP="00ED03AA">
            <w:pPr>
              <w:tabs>
                <w:tab w:val="decimal" w:pos="1054"/>
              </w:tabs>
              <w:spacing w:line="276" w:lineRule="auto"/>
              <w:rPr>
                <w:sz w:val="22"/>
                <w:szCs w:val="22"/>
              </w:rPr>
            </w:pPr>
          </w:p>
        </w:tc>
        <w:tc>
          <w:tcPr>
            <w:tcW w:w="266" w:type="dxa"/>
            <w:tcBorders>
              <w:bottom w:val="single" w:sz="4" w:space="0" w:color="auto"/>
            </w:tcBorders>
            <w:noWrap/>
            <w:vAlign w:val="bottom"/>
            <w:hideMark/>
          </w:tcPr>
          <w:p w:rsidR="00087238" w:rsidRPr="00ED03AA" w:rsidRDefault="00087238" w:rsidP="00ED03AA">
            <w:pPr>
              <w:spacing w:line="276" w:lineRule="auto"/>
              <w:rPr>
                <w:sz w:val="22"/>
                <w:szCs w:val="22"/>
              </w:rPr>
            </w:pPr>
          </w:p>
        </w:tc>
        <w:tc>
          <w:tcPr>
            <w:tcW w:w="1420" w:type="dxa"/>
            <w:tcBorders>
              <w:bottom w:val="single" w:sz="4" w:space="0" w:color="auto"/>
            </w:tcBorders>
            <w:noWrap/>
            <w:vAlign w:val="bottom"/>
            <w:hideMark/>
          </w:tcPr>
          <w:p w:rsidR="00087238" w:rsidRPr="00ED03AA" w:rsidRDefault="00087238" w:rsidP="00ED03AA">
            <w:pPr>
              <w:tabs>
                <w:tab w:val="decimal" w:pos="530"/>
              </w:tabs>
              <w:spacing w:line="276" w:lineRule="auto"/>
              <w:rPr>
                <w:sz w:val="22"/>
                <w:szCs w:val="22"/>
              </w:rPr>
            </w:pPr>
          </w:p>
        </w:tc>
        <w:tc>
          <w:tcPr>
            <w:tcW w:w="960" w:type="dxa"/>
            <w:tcBorders>
              <w:bottom w:val="single" w:sz="4" w:space="0" w:color="auto"/>
            </w:tcBorders>
            <w:noWrap/>
            <w:vAlign w:val="bottom"/>
            <w:hideMark/>
          </w:tcPr>
          <w:p w:rsidR="00087238" w:rsidRPr="00ED03AA" w:rsidRDefault="00087238" w:rsidP="00ED03AA">
            <w:pPr>
              <w:tabs>
                <w:tab w:val="decimal" w:pos="280"/>
              </w:tabs>
              <w:spacing w:line="276" w:lineRule="auto"/>
              <w:rPr>
                <w:sz w:val="22"/>
                <w:szCs w:val="22"/>
              </w:rPr>
            </w:pPr>
          </w:p>
        </w:tc>
        <w:tc>
          <w:tcPr>
            <w:tcW w:w="2308" w:type="dxa"/>
            <w:tcBorders>
              <w:bottom w:val="single" w:sz="4" w:space="0" w:color="auto"/>
            </w:tcBorders>
            <w:noWrap/>
            <w:vAlign w:val="bottom"/>
            <w:hideMark/>
          </w:tcPr>
          <w:p w:rsidR="00087238" w:rsidRPr="00ED03AA" w:rsidRDefault="00087238" w:rsidP="00ED03AA">
            <w:pPr>
              <w:tabs>
                <w:tab w:val="decimal" w:pos="1082"/>
              </w:tabs>
              <w:spacing w:line="276" w:lineRule="auto"/>
              <w:rPr>
                <w:sz w:val="22"/>
                <w:szCs w:val="22"/>
              </w:rPr>
            </w:pPr>
          </w:p>
        </w:tc>
      </w:tr>
      <w:tr w:rsidR="00087238" w:rsidRPr="00ED03AA" w:rsidTr="00D272CB">
        <w:trPr>
          <w:trHeight w:val="300"/>
        </w:trPr>
        <w:tc>
          <w:tcPr>
            <w:tcW w:w="1530" w:type="dxa"/>
            <w:tcBorders>
              <w:top w:val="single" w:sz="4" w:space="0" w:color="auto"/>
            </w:tcBorders>
            <w:noWrap/>
            <w:vAlign w:val="bottom"/>
            <w:hideMark/>
          </w:tcPr>
          <w:p w:rsidR="00087238" w:rsidRPr="00ED03AA" w:rsidRDefault="00087238">
            <w:pPr>
              <w:rPr>
                <w:color w:val="000000"/>
                <w:sz w:val="22"/>
                <w:szCs w:val="22"/>
              </w:rPr>
            </w:pPr>
            <w:r w:rsidRPr="00ED03AA">
              <w:rPr>
                <w:color w:val="000000"/>
              </w:rPr>
              <w:t>Georgia</w:t>
            </w:r>
          </w:p>
        </w:tc>
        <w:tc>
          <w:tcPr>
            <w:tcW w:w="2228" w:type="dxa"/>
            <w:tcBorders>
              <w:top w:val="single" w:sz="4" w:space="0" w:color="auto"/>
            </w:tcBorders>
            <w:noWrap/>
            <w:vAlign w:val="bottom"/>
            <w:hideMark/>
          </w:tcPr>
          <w:p w:rsidR="00087238" w:rsidRPr="00ED03AA" w:rsidRDefault="00B02A41" w:rsidP="00ED03AA">
            <w:pPr>
              <w:tabs>
                <w:tab w:val="decimal" w:pos="1054"/>
              </w:tabs>
              <w:rPr>
                <w:color w:val="000000"/>
                <w:sz w:val="22"/>
                <w:szCs w:val="22"/>
              </w:rPr>
            </w:pPr>
            <w:r>
              <w:rPr>
                <w:color w:val="000000"/>
              </w:rPr>
              <w:t>–</w:t>
            </w:r>
            <w:r w:rsidR="00087238" w:rsidRPr="00ED03AA">
              <w:rPr>
                <w:color w:val="000000"/>
              </w:rPr>
              <w:t>1.56%</w:t>
            </w:r>
          </w:p>
        </w:tc>
        <w:tc>
          <w:tcPr>
            <w:tcW w:w="266" w:type="dxa"/>
            <w:tcBorders>
              <w:top w:val="single" w:sz="4" w:space="0" w:color="auto"/>
            </w:tcBorders>
            <w:noWrap/>
            <w:vAlign w:val="bottom"/>
            <w:hideMark/>
          </w:tcPr>
          <w:p w:rsidR="00087238" w:rsidRPr="00ED03AA" w:rsidRDefault="00087238" w:rsidP="00ED03AA">
            <w:pPr>
              <w:spacing w:line="276" w:lineRule="auto"/>
              <w:rPr>
                <w:sz w:val="22"/>
                <w:szCs w:val="22"/>
              </w:rPr>
            </w:pPr>
          </w:p>
        </w:tc>
        <w:tc>
          <w:tcPr>
            <w:tcW w:w="1420" w:type="dxa"/>
            <w:tcBorders>
              <w:top w:val="single" w:sz="4" w:space="0" w:color="auto"/>
            </w:tcBorders>
            <w:noWrap/>
            <w:vAlign w:val="bottom"/>
            <w:hideMark/>
          </w:tcPr>
          <w:p w:rsidR="00087238" w:rsidRPr="00ED03AA" w:rsidRDefault="00087238" w:rsidP="00ED03AA">
            <w:pPr>
              <w:tabs>
                <w:tab w:val="decimal" w:pos="530"/>
              </w:tabs>
              <w:rPr>
                <w:color w:val="000000"/>
                <w:sz w:val="22"/>
                <w:szCs w:val="22"/>
              </w:rPr>
            </w:pPr>
            <w:r w:rsidRPr="00ED03AA">
              <w:rPr>
                <w:color w:val="000000"/>
              </w:rPr>
              <w:t>8.88%</w:t>
            </w:r>
          </w:p>
        </w:tc>
        <w:tc>
          <w:tcPr>
            <w:tcW w:w="960" w:type="dxa"/>
            <w:tcBorders>
              <w:top w:val="single" w:sz="4" w:space="0" w:color="auto"/>
            </w:tcBorders>
            <w:noWrap/>
            <w:vAlign w:val="bottom"/>
            <w:hideMark/>
          </w:tcPr>
          <w:p w:rsidR="00087238" w:rsidRPr="00ED03AA" w:rsidRDefault="00087238" w:rsidP="00ED03AA">
            <w:pPr>
              <w:tabs>
                <w:tab w:val="decimal" w:pos="280"/>
              </w:tabs>
              <w:rPr>
                <w:color w:val="000000"/>
                <w:sz w:val="22"/>
                <w:szCs w:val="22"/>
              </w:rPr>
            </w:pPr>
            <w:r w:rsidRPr="00ED03AA">
              <w:rPr>
                <w:color w:val="000000"/>
              </w:rPr>
              <w:t>10.44%</w:t>
            </w:r>
          </w:p>
        </w:tc>
        <w:tc>
          <w:tcPr>
            <w:tcW w:w="2308" w:type="dxa"/>
            <w:tcBorders>
              <w:top w:val="single" w:sz="4" w:space="0" w:color="auto"/>
            </w:tcBorders>
            <w:noWrap/>
            <w:vAlign w:val="bottom"/>
            <w:hideMark/>
          </w:tcPr>
          <w:p w:rsidR="00087238" w:rsidRPr="00ED03AA" w:rsidRDefault="00087238" w:rsidP="00ED03AA">
            <w:pPr>
              <w:tabs>
                <w:tab w:val="decimal" w:pos="1082"/>
              </w:tabs>
              <w:rPr>
                <w:color w:val="000000"/>
                <w:sz w:val="22"/>
                <w:szCs w:val="22"/>
              </w:rPr>
            </w:pPr>
            <w:r w:rsidRPr="00ED03AA">
              <w:rPr>
                <w:color w:val="000000"/>
              </w:rPr>
              <w:t>17.9</w:t>
            </w:r>
          </w:p>
        </w:tc>
      </w:tr>
      <w:tr w:rsidR="00087238" w:rsidRPr="00ED03AA" w:rsidTr="00B02A41">
        <w:trPr>
          <w:trHeight w:val="300"/>
        </w:trPr>
        <w:tc>
          <w:tcPr>
            <w:tcW w:w="1530" w:type="dxa"/>
            <w:noWrap/>
            <w:vAlign w:val="bottom"/>
            <w:hideMark/>
          </w:tcPr>
          <w:p w:rsidR="00087238" w:rsidRPr="00ED03AA" w:rsidRDefault="00087238">
            <w:pPr>
              <w:rPr>
                <w:color w:val="000000"/>
                <w:sz w:val="22"/>
                <w:szCs w:val="22"/>
              </w:rPr>
            </w:pPr>
            <w:r w:rsidRPr="00ED03AA">
              <w:rPr>
                <w:color w:val="000000"/>
              </w:rPr>
              <w:t>Mexico</w:t>
            </w:r>
          </w:p>
        </w:tc>
        <w:tc>
          <w:tcPr>
            <w:tcW w:w="2228" w:type="dxa"/>
            <w:noWrap/>
            <w:vAlign w:val="bottom"/>
            <w:hideMark/>
          </w:tcPr>
          <w:p w:rsidR="00087238" w:rsidRPr="00ED03AA" w:rsidRDefault="00B02A41" w:rsidP="00ED03AA">
            <w:pPr>
              <w:tabs>
                <w:tab w:val="decimal" w:pos="1054"/>
              </w:tabs>
              <w:rPr>
                <w:color w:val="000000"/>
                <w:sz w:val="22"/>
                <w:szCs w:val="22"/>
              </w:rPr>
            </w:pPr>
            <w:r>
              <w:rPr>
                <w:color w:val="000000"/>
              </w:rPr>
              <w:t>–</w:t>
            </w:r>
            <w:r w:rsidR="00087238" w:rsidRPr="00ED03AA">
              <w:rPr>
                <w:color w:val="000000"/>
              </w:rPr>
              <w:t>6.47%</w:t>
            </w:r>
          </w:p>
        </w:tc>
        <w:tc>
          <w:tcPr>
            <w:tcW w:w="266" w:type="dxa"/>
            <w:noWrap/>
            <w:vAlign w:val="bottom"/>
            <w:hideMark/>
          </w:tcPr>
          <w:p w:rsidR="00087238" w:rsidRPr="00ED03AA" w:rsidRDefault="00087238" w:rsidP="00ED03AA">
            <w:pPr>
              <w:spacing w:line="276" w:lineRule="auto"/>
              <w:rPr>
                <w:sz w:val="22"/>
                <w:szCs w:val="22"/>
              </w:rPr>
            </w:pPr>
          </w:p>
        </w:tc>
        <w:tc>
          <w:tcPr>
            <w:tcW w:w="1420" w:type="dxa"/>
            <w:noWrap/>
            <w:vAlign w:val="bottom"/>
            <w:hideMark/>
          </w:tcPr>
          <w:p w:rsidR="00087238" w:rsidRPr="00ED03AA" w:rsidRDefault="00087238" w:rsidP="00ED03AA">
            <w:pPr>
              <w:tabs>
                <w:tab w:val="decimal" w:pos="530"/>
              </w:tabs>
              <w:rPr>
                <w:color w:val="000000"/>
                <w:sz w:val="22"/>
                <w:szCs w:val="22"/>
              </w:rPr>
            </w:pPr>
            <w:r w:rsidRPr="00ED03AA">
              <w:rPr>
                <w:color w:val="000000"/>
              </w:rPr>
              <w:t>1.24%</w:t>
            </w:r>
          </w:p>
        </w:tc>
        <w:tc>
          <w:tcPr>
            <w:tcW w:w="960" w:type="dxa"/>
            <w:noWrap/>
            <w:vAlign w:val="bottom"/>
            <w:hideMark/>
          </w:tcPr>
          <w:p w:rsidR="00087238" w:rsidRPr="00ED03AA" w:rsidRDefault="00087238" w:rsidP="00ED03AA">
            <w:pPr>
              <w:tabs>
                <w:tab w:val="decimal" w:pos="280"/>
              </w:tabs>
              <w:rPr>
                <w:color w:val="000000"/>
                <w:sz w:val="22"/>
                <w:szCs w:val="22"/>
              </w:rPr>
            </w:pPr>
            <w:r w:rsidRPr="00ED03AA">
              <w:rPr>
                <w:color w:val="000000"/>
              </w:rPr>
              <w:t>7.71%</w:t>
            </w:r>
          </w:p>
        </w:tc>
        <w:tc>
          <w:tcPr>
            <w:tcW w:w="2308" w:type="dxa"/>
            <w:noWrap/>
            <w:vAlign w:val="bottom"/>
            <w:hideMark/>
          </w:tcPr>
          <w:p w:rsidR="00087238" w:rsidRPr="00ED03AA" w:rsidRDefault="00087238" w:rsidP="00ED03AA">
            <w:pPr>
              <w:tabs>
                <w:tab w:val="decimal" w:pos="1082"/>
              </w:tabs>
              <w:rPr>
                <w:color w:val="000000"/>
                <w:sz w:val="22"/>
                <w:szCs w:val="22"/>
              </w:rPr>
            </w:pPr>
            <w:r w:rsidRPr="00ED03AA">
              <w:rPr>
                <w:color w:val="000000"/>
              </w:rPr>
              <w:t>7.7</w:t>
            </w:r>
          </w:p>
        </w:tc>
      </w:tr>
      <w:tr w:rsidR="00087238" w:rsidRPr="00ED03AA" w:rsidTr="00B02A41">
        <w:trPr>
          <w:trHeight w:val="300"/>
        </w:trPr>
        <w:tc>
          <w:tcPr>
            <w:tcW w:w="1530" w:type="dxa"/>
            <w:tcBorders>
              <w:top w:val="nil"/>
              <w:left w:val="nil"/>
              <w:bottom w:val="single" w:sz="4" w:space="0" w:color="auto"/>
              <w:right w:val="nil"/>
            </w:tcBorders>
            <w:noWrap/>
            <w:vAlign w:val="bottom"/>
            <w:hideMark/>
          </w:tcPr>
          <w:p w:rsidR="00087238" w:rsidRPr="00ED03AA" w:rsidRDefault="00087238">
            <w:pPr>
              <w:rPr>
                <w:color w:val="000000"/>
                <w:sz w:val="22"/>
                <w:szCs w:val="22"/>
              </w:rPr>
            </w:pPr>
            <w:r w:rsidRPr="00ED03AA">
              <w:rPr>
                <w:color w:val="000000"/>
              </w:rPr>
              <w:t>Argentina</w:t>
            </w:r>
          </w:p>
        </w:tc>
        <w:tc>
          <w:tcPr>
            <w:tcW w:w="2228" w:type="dxa"/>
            <w:tcBorders>
              <w:top w:val="nil"/>
              <w:left w:val="nil"/>
              <w:bottom w:val="single" w:sz="4" w:space="0" w:color="auto"/>
              <w:right w:val="nil"/>
            </w:tcBorders>
            <w:noWrap/>
            <w:vAlign w:val="bottom"/>
            <w:hideMark/>
          </w:tcPr>
          <w:p w:rsidR="00087238" w:rsidRPr="00ED03AA" w:rsidRDefault="00B02A41" w:rsidP="00ED03AA">
            <w:pPr>
              <w:tabs>
                <w:tab w:val="decimal" w:pos="1054"/>
              </w:tabs>
              <w:rPr>
                <w:color w:val="000000"/>
                <w:sz w:val="22"/>
                <w:szCs w:val="22"/>
              </w:rPr>
            </w:pPr>
            <w:r>
              <w:rPr>
                <w:color w:val="000000"/>
              </w:rPr>
              <w:t>–</w:t>
            </w:r>
            <w:r w:rsidR="00087238" w:rsidRPr="00ED03AA">
              <w:rPr>
                <w:color w:val="000000"/>
              </w:rPr>
              <w:t>4.33%</w:t>
            </w:r>
          </w:p>
        </w:tc>
        <w:tc>
          <w:tcPr>
            <w:tcW w:w="266" w:type="dxa"/>
            <w:tcBorders>
              <w:top w:val="nil"/>
              <w:left w:val="nil"/>
              <w:bottom w:val="single" w:sz="4" w:space="0" w:color="auto"/>
              <w:right w:val="nil"/>
            </w:tcBorders>
            <w:noWrap/>
            <w:vAlign w:val="bottom"/>
            <w:hideMark/>
          </w:tcPr>
          <w:p w:rsidR="00087238" w:rsidRPr="00ED03AA" w:rsidRDefault="00087238" w:rsidP="00ED03AA">
            <w:pPr>
              <w:rPr>
                <w:color w:val="000000"/>
                <w:sz w:val="22"/>
                <w:szCs w:val="22"/>
              </w:rPr>
            </w:pPr>
            <w:r w:rsidRPr="00ED03AA">
              <w:rPr>
                <w:color w:val="000000"/>
              </w:rPr>
              <w:t> </w:t>
            </w:r>
          </w:p>
        </w:tc>
        <w:tc>
          <w:tcPr>
            <w:tcW w:w="1420" w:type="dxa"/>
            <w:tcBorders>
              <w:top w:val="nil"/>
              <w:left w:val="nil"/>
              <w:bottom w:val="single" w:sz="4" w:space="0" w:color="auto"/>
              <w:right w:val="nil"/>
            </w:tcBorders>
            <w:noWrap/>
            <w:vAlign w:val="bottom"/>
            <w:hideMark/>
          </w:tcPr>
          <w:p w:rsidR="00087238" w:rsidRPr="00ED03AA" w:rsidRDefault="00087238" w:rsidP="00ED03AA">
            <w:pPr>
              <w:tabs>
                <w:tab w:val="decimal" w:pos="530"/>
              </w:tabs>
              <w:rPr>
                <w:color w:val="000000"/>
                <w:sz w:val="22"/>
                <w:szCs w:val="22"/>
              </w:rPr>
            </w:pPr>
            <w:r w:rsidRPr="00ED03AA">
              <w:rPr>
                <w:color w:val="000000"/>
              </w:rPr>
              <w:t>5.92%</w:t>
            </w:r>
          </w:p>
        </w:tc>
        <w:tc>
          <w:tcPr>
            <w:tcW w:w="960" w:type="dxa"/>
            <w:tcBorders>
              <w:top w:val="nil"/>
              <w:left w:val="nil"/>
              <w:bottom w:val="single" w:sz="4" w:space="0" w:color="auto"/>
              <w:right w:val="nil"/>
            </w:tcBorders>
            <w:noWrap/>
            <w:vAlign w:val="bottom"/>
            <w:hideMark/>
          </w:tcPr>
          <w:p w:rsidR="00087238" w:rsidRPr="00ED03AA" w:rsidRDefault="00087238" w:rsidP="00ED03AA">
            <w:pPr>
              <w:tabs>
                <w:tab w:val="decimal" w:pos="280"/>
              </w:tabs>
              <w:rPr>
                <w:color w:val="000000"/>
                <w:sz w:val="22"/>
                <w:szCs w:val="22"/>
              </w:rPr>
            </w:pPr>
            <w:r w:rsidRPr="00ED03AA">
              <w:rPr>
                <w:color w:val="000000"/>
              </w:rPr>
              <w:t>10.25%</w:t>
            </w:r>
          </w:p>
        </w:tc>
        <w:tc>
          <w:tcPr>
            <w:tcW w:w="2308" w:type="dxa"/>
            <w:tcBorders>
              <w:top w:val="nil"/>
              <w:left w:val="nil"/>
              <w:bottom w:val="single" w:sz="4" w:space="0" w:color="auto"/>
              <w:right w:val="nil"/>
            </w:tcBorders>
            <w:noWrap/>
            <w:vAlign w:val="bottom"/>
            <w:hideMark/>
          </w:tcPr>
          <w:p w:rsidR="00087238" w:rsidRPr="00ED03AA" w:rsidRDefault="00B02A41" w:rsidP="00ED03AA">
            <w:pPr>
              <w:tabs>
                <w:tab w:val="decimal" w:pos="1082"/>
              </w:tabs>
              <w:rPr>
                <w:color w:val="000000"/>
                <w:sz w:val="22"/>
                <w:szCs w:val="22"/>
              </w:rPr>
            </w:pPr>
            <w:r>
              <w:rPr>
                <w:color w:val="000000"/>
              </w:rPr>
              <w:t>–</w:t>
            </w:r>
            <w:r w:rsidR="00087238" w:rsidRPr="00ED03AA">
              <w:rPr>
                <w:color w:val="000000"/>
              </w:rPr>
              <w:t>23.3</w:t>
            </w:r>
          </w:p>
        </w:tc>
      </w:tr>
    </w:tbl>
    <w:p w:rsidR="00B019DA" w:rsidRDefault="008F7643" w:rsidP="008F7643">
      <w:pPr>
        <w:pStyle w:val="MCQList1sub"/>
      </w:pPr>
      <w:r>
        <w:tab/>
        <w:t>3.</w:t>
      </w:r>
      <w:r>
        <w:tab/>
      </w:r>
      <w:r w:rsidR="00087238">
        <w:t>a</w:t>
      </w:r>
      <w:r w:rsidR="00676BC4">
        <w:t>.</w:t>
      </w:r>
      <w:r>
        <w:rPr>
          <w:i/>
        </w:rPr>
        <w:tab/>
      </w:r>
      <w:r w:rsidR="00087238">
        <w:rPr>
          <w:i/>
        </w:rPr>
        <w:t>α</w:t>
      </w:r>
      <w:r w:rsidR="00087238">
        <w:rPr>
          <w:i/>
          <w:vertAlign w:val="subscript"/>
        </w:rPr>
        <w:t>t</w:t>
      </w:r>
      <w:r w:rsidR="00087238">
        <w:t xml:space="preserve"> = [</w:t>
      </w:r>
      <w:r w:rsidR="00087238">
        <w:rPr>
          <w:i/>
        </w:rPr>
        <w:t xml:space="preserve"> A</w:t>
      </w:r>
      <w:r w:rsidR="00087238">
        <w:rPr>
          <w:i/>
          <w:vertAlign w:val="subscript"/>
        </w:rPr>
        <w:t>t + 1</w:t>
      </w:r>
      <w:r w:rsidR="00087238">
        <w:rPr>
          <w:i/>
        </w:rPr>
        <w:t>/A</w:t>
      </w:r>
      <w:r w:rsidR="00087238">
        <w:rPr>
          <w:i/>
          <w:vertAlign w:val="subscript"/>
        </w:rPr>
        <w:t>t</w:t>
      </w:r>
      <w:r w:rsidR="00087238">
        <w:rPr>
          <w:i/>
        </w:rPr>
        <w:t xml:space="preserve"> – 1</w:t>
      </w:r>
      <w:r w:rsidR="00087238">
        <w:t>]/</w:t>
      </w:r>
      <w:r w:rsidR="00087238">
        <w:rPr>
          <w:i/>
        </w:rPr>
        <w:t>LF</w:t>
      </w:r>
      <w:r w:rsidR="00087238">
        <w:rPr>
          <w:i/>
          <w:vertAlign w:val="subscript"/>
        </w:rPr>
        <w:t>t</w:t>
      </w:r>
      <w:r w:rsidR="00087238">
        <w:t xml:space="preserve">, where </w:t>
      </w:r>
      <w:r w:rsidR="00087238">
        <w:rPr>
          <w:i/>
        </w:rPr>
        <w:t>LF</w:t>
      </w:r>
      <w:r w:rsidR="00087238">
        <w:rPr>
          <w:i/>
          <w:vertAlign w:val="subscript"/>
        </w:rPr>
        <w:t>t</w:t>
      </w:r>
      <w:r w:rsidR="00087238">
        <w:t xml:space="preserve"> is the (indexed) labor force. Yearly data calculations not shown.</w:t>
      </w:r>
    </w:p>
    <w:p w:rsidR="00B019DA" w:rsidRDefault="00B019DA" w:rsidP="00B019DA">
      <w:pPr>
        <w:pStyle w:val="MCQList2"/>
      </w:pPr>
      <w:r>
        <w:t>b.</w:t>
      </w:r>
      <w:r>
        <w:tab/>
      </w:r>
      <w:r w:rsidR="00087238">
        <w:t>Yearly data calculations not shown.</w:t>
      </w:r>
    </w:p>
    <w:p w:rsidR="00B019DA" w:rsidRDefault="00B019DA" w:rsidP="00B019DA">
      <w:pPr>
        <w:pStyle w:val="MCQList2"/>
      </w:pPr>
      <w:r>
        <w:t>c.</w:t>
      </w:r>
      <w:r>
        <w:tab/>
      </w:r>
      <w:r w:rsidR="00087238">
        <w:t>Yearly data calculations not shown.</w:t>
      </w:r>
    </w:p>
    <w:p w:rsidR="00B02A41" w:rsidRDefault="00B019DA" w:rsidP="00B019DA">
      <w:pPr>
        <w:pStyle w:val="MCQList2"/>
      </w:pPr>
      <w:r>
        <w:t>d.</w:t>
      </w:r>
      <w:r>
        <w:tab/>
      </w:r>
      <w:r w:rsidR="00087238">
        <w:t xml:space="preserve">See table below. Based on this constructed measure of data from 1980 through 2011, </w:t>
      </w:r>
      <w:r w:rsidR="00087238">
        <w:rPr>
          <w:i/>
        </w:rPr>
        <w:t>α</w:t>
      </w:r>
      <w:r w:rsidR="00087238">
        <w:t xml:space="preserve"> averaged about 0.8</w:t>
      </w:r>
      <w:r w:rsidR="00B02A41">
        <w:t xml:space="preserve"> percent </w:t>
      </w:r>
      <w:r w:rsidR="00087238">
        <w:t>in the 1980</w:t>
      </w:r>
      <w:r w:rsidR="00B02A41">
        <w:t>–19</w:t>
      </w:r>
      <w:r w:rsidR="00087238">
        <w:t>99 period and much lower at 0.19</w:t>
      </w:r>
      <w:r w:rsidR="00B02A41">
        <w:t xml:space="preserve"> percent </w:t>
      </w:r>
      <w:r w:rsidR="00087238">
        <w:t>in the post-2000 period. Based on these results, endogenous growth theory would suggest that with a lower proportion of the workforce dedicated to R&amp;D as in the post-2000 period, this would lead to a permanently lower growth rate of real GDP per worker.</w:t>
      </w:r>
      <w:r w:rsidR="00532B8F">
        <w:t xml:space="preserve"> </w:t>
      </w:r>
    </w:p>
    <w:p w:rsidR="00087238" w:rsidRDefault="00087238" w:rsidP="00B019DA">
      <w:pPr>
        <w:pStyle w:val="MCQList2"/>
      </w:pPr>
      <w:r>
        <w:t>e</w:t>
      </w:r>
      <w:r w:rsidR="00676BC4">
        <w:t>.</w:t>
      </w:r>
      <w:r>
        <w:t xml:space="preserve"> </w:t>
      </w:r>
      <w:r w:rsidR="00B02A41">
        <w:tab/>
      </w:r>
      <w:r>
        <w:t>The growth in real GDP per worker in the 1980</w:t>
      </w:r>
      <w:r w:rsidR="00B02A41">
        <w:t>–</w:t>
      </w:r>
      <w:r>
        <w:t xml:space="preserve">2000 period averages a bit </w:t>
      </w:r>
      <w:r w:rsidR="00B02A41">
        <w:t xml:space="preserve">more than </w:t>
      </w:r>
      <w:r>
        <w:t>2</w:t>
      </w:r>
      <w:r w:rsidR="00B02A41">
        <w:t xml:space="preserve"> percent </w:t>
      </w:r>
      <w:r>
        <w:t>per year, while the post-2000 period is much lower, at 0.84</w:t>
      </w:r>
      <w:r w:rsidR="00B02A41">
        <w:t xml:space="preserve"> percent </w:t>
      </w:r>
      <w:r>
        <w:t>per year on average. Given the results from part (d) above, and the predictions of the endogenous growth model, this is entirely consistent with the model: less of the workforce devoted to R&amp;D will lead to a slower growth path in real GDP per person.</w:t>
      </w:r>
    </w:p>
    <w:tbl>
      <w:tblPr>
        <w:tblW w:w="5217" w:type="dxa"/>
        <w:tblInd w:w="936" w:type="dxa"/>
        <w:tblBorders>
          <w:top w:val="single" w:sz="4" w:space="0" w:color="auto"/>
          <w:bottom w:val="single" w:sz="4" w:space="0" w:color="auto"/>
        </w:tblBorders>
        <w:tblLook w:val="04A0"/>
      </w:tblPr>
      <w:tblGrid>
        <w:gridCol w:w="2607"/>
        <w:gridCol w:w="1080"/>
        <w:gridCol w:w="1530"/>
      </w:tblGrid>
      <w:tr w:rsidR="00087238" w:rsidRPr="00B92EB0" w:rsidTr="00B02A41">
        <w:trPr>
          <w:trHeight w:val="342"/>
        </w:trPr>
        <w:tc>
          <w:tcPr>
            <w:tcW w:w="2607" w:type="dxa"/>
            <w:tcBorders>
              <w:top w:val="single" w:sz="4" w:space="0" w:color="auto"/>
              <w:bottom w:val="single" w:sz="4" w:space="0" w:color="auto"/>
            </w:tcBorders>
            <w:noWrap/>
            <w:vAlign w:val="bottom"/>
            <w:hideMark/>
          </w:tcPr>
          <w:p w:rsidR="00087238" w:rsidRPr="00B92EB0" w:rsidRDefault="00087238" w:rsidP="00B92EB0">
            <w:pPr>
              <w:spacing w:line="276" w:lineRule="auto"/>
              <w:jc w:val="center"/>
              <w:rPr>
                <w:b/>
                <w:sz w:val="22"/>
                <w:szCs w:val="22"/>
              </w:rPr>
            </w:pPr>
          </w:p>
        </w:tc>
        <w:tc>
          <w:tcPr>
            <w:tcW w:w="1080" w:type="dxa"/>
            <w:tcBorders>
              <w:top w:val="single" w:sz="4" w:space="0" w:color="auto"/>
              <w:bottom w:val="single" w:sz="4" w:space="0" w:color="auto"/>
            </w:tcBorders>
            <w:noWrap/>
            <w:vAlign w:val="bottom"/>
            <w:hideMark/>
          </w:tcPr>
          <w:p w:rsidR="00087238" w:rsidRPr="00B92EB0" w:rsidRDefault="00087238" w:rsidP="00B02A41">
            <w:pPr>
              <w:jc w:val="center"/>
              <w:rPr>
                <w:b/>
              </w:rPr>
            </w:pPr>
            <w:r w:rsidRPr="00B92EB0">
              <w:rPr>
                <w:b/>
                <w:i/>
              </w:rPr>
              <w:t>α</w:t>
            </w:r>
          </w:p>
        </w:tc>
        <w:tc>
          <w:tcPr>
            <w:tcW w:w="1530" w:type="dxa"/>
            <w:tcBorders>
              <w:top w:val="single" w:sz="4" w:space="0" w:color="auto"/>
              <w:bottom w:val="single" w:sz="4" w:space="0" w:color="auto"/>
            </w:tcBorders>
            <w:noWrap/>
            <w:vAlign w:val="bottom"/>
            <w:hideMark/>
          </w:tcPr>
          <w:p w:rsidR="00087238" w:rsidRPr="00B92EB0" w:rsidRDefault="00087238" w:rsidP="00B02A41">
            <w:pPr>
              <w:jc w:val="center"/>
              <w:rPr>
                <w:b/>
              </w:rPr>
            </w:pPr>
            <w:r w:rsidRPr="00B92EB0">
              <w:rPr>
                <w:b/>
                <w:i/>
              </w:rPr>
              <w:t>g</w:t>
            </w:r>
            <w:r w:rsidRPr="00B92EB0">
              <w:rPr>
                <w:b/>
                <w:i/>
                <w:vertAlign w:val="subscript"/>
              </w:rPr>
              <w:t>y</w:t>
            </w:r>
            <w:r w:rsidRPr="00B92EB0">
              <w:rPr>
                <w:b/>
                <w:i/>
              </w:rPr>
              <w:t>,</w:t>
            </w:r>
            <w:r w:rsidRPr="00B92EB0">
              <w:rPr>
                <w:b/>
              </w:rPr>
              <w:t xml:space="preserve"> per year</w:t>
            </w:r>
          </w:p>
        </w:tc>
      </w:tr>
      <w:tr w:rsidR="00087238" w:rsidRPr="00B92EB0" w:rsidTr="00B02A41">
        <w:trPr>
          <w:trHeight w:val="255"/>
        </w:trPr>
        <w:tc>
          <w:tcPr>
            <w:tcW w:w="2607" w:type="dxa"/>
            <w:tcBorders>
              <w:top w:val="single" w:sz="4" w:space="0" w:color="auto"/>
            </w:tcBorders>
            <w:noWrap/>
            <w:vAlign w:val="bottom"/>
            <w:hideMark/>
          </w:tcPr>
          <w:p w:rsidR="00087238" w:rsidRPr="00B92EB0" w:rsidRDefault="00087238" w:rsidP="00B02A41">
            <w:r w:rsidRPr="00B92EB0">
              <w:t>Average 1980 to 1999</w:t>
            </w:r>
          </w:p>
        </w:tc>
        <w:tc>
          <w:tcPr>
            <w:tcW w:w="1080" w:type="dxa"/>
            <w:tcBorders>
              <w:top w:val="single" w:sz="4" w:space="0" w:color="auto"/>
            </w:tcBorders>
            <w:noWrap/>
            <w:vAlign w:val="bottom"/>
            <w:hideMark/>
          </w:tcPr>
          <w:p w:rsidR="00087238" w:rsidRPr="00B92EB0" w:rsidRDefault="00087238" w:rsidP="00B02A41">
            <w:pPr>
              <w:jc w:val="center"/>
            </w:pPr>
            <w:r w:rsidRPr="00B92EB0">
              <w:t>0.80 %</w:t>
            </w:r>
          </w:p>
        </w:tc>
        <w:tc>
          <w:tcPr>
            <w:tcW w:w="1530" w:type="dxa"/>
            <w:tcBorders>
              <w:top w:val="single" w:sz="4" w:space="0" w:color="auto"/>
            </w:tcBorders>
            <w:noWrap/>
            <w:vAlign w:val="bottom"/>
            <w:hideMark/>
          </w:tcPr>
          <w:p w:rsidR="00087238" w:rsidRPr="00B92EB0" w:rsidRDefault="00087238" w:rsidP="00B02A41">
            <w:pPr>
              <w:jc w:val="center"/>
            </w:pPr>
            <w:r w:rsidRPr="00B92EB0">
              <w:t>2.08 %</w:t>
            </w:r>
          </w:p>
        </w:tc>
      </w:tr>
      <w:tr w:rsidR="00087238" w:rsidRPr="00B92EB0" w:rsidTr="00B02A41">
        <w:trPr>
          <w:trHeight w:val="255"/>
        </w:trPr>
        <w:tc>
          <w:tcPr>
            <w:tcW w:w="2607" w:type="dxa"/>
            <w:noWrap/>
            <w:vAlign w:val="bottom"/>
            <w:hideMark/>
          </w:tcPr>
          <w:p w:rsidR="00087238" w:rsidRPr="00B92EB0" w:rsidRDefault="00087238" w:rsidP="00B02A41">
            <w:r w:rsidRPr="00B92EB0">
              <w:t>Average 2000 to 2011</w:t>
            </w:r>
          </w:p>
        </w:tc>
        <w:tc>
          <w:tcPr>
            <w:tcW w:w="1080" w:type="dxa"/>
            <w:noWrap/>
            <w:vAlign w:val="bottom"/>
            <w:hideMark/>
          </w:tcPr>
          <w:p w:rsidR="00087238" w:rsidRPr="00B92EB0" w:rsidRDefault="00087238" w:rsidP="00B02A41">
            <w:pPr>
              <w:jc w:val="center"/>
            </w:pPr>
            <w:r w:rsidRPr="00B92EB0">
              <w:t>0.19 %</w:t>
            </w:r>
          </w:p>
        </w:tc>
        <w:tc>
          <w:tcPr>
            <w:tcW w:w="1530" w:type="dxa"/>
            <w:noWrap/>
            <w:vAlign w:val="bottom"/>
            <w:hideMark/>
          </w:tcPr>
          <w:p w:rsidR="00087238" w:rsidRPr="00B92EB0" w:rsidRDefault="00087238" w:rsidP="00B02A41">
            <w:pPr>
              <w:jc w:val="center"/>
            </w:pPr>
            <w:r w:rsidRPr="00B92EB0">
              <w:t>0.84 %</w:t>
            </w:r>
          </w:p>
        </w:tc>
      </w:tr>
    </w:tbl>
    <w:p w:rsidR="007C6890" w:rsidRDefault="007C6890">
      <w:pPr>
        <w:pStyle w:val="awTB01questionHead"/>
      </w:pPr>
      <w:r>
        <w:sym w:font="Wingdings" w:char="F06E"/>
      </w:r>
      <w:r>
        <w:t> </w:t>
      </w:r>
      <w:r>
        <w:t>Data Sources, Related Articles, and Discussion Questions</w:t>
      </w:r>
    </w:p>
    <w:p w:rsidR="007C6890" w:rsidRPr="00B02A41" w:rsidRDefault="007C6890">
      <w:pPr>
        <w:pStyle w:val="H2"/>
        <w:spacing w:before="0"/>
        <w:rPr>
          <w:i/>
        </w:rPr>
      </w:pPr>
      <w:r>
        <w:t xml:space="preserve">A. For </w:t>
      </w:r>
      <w:r w:rsidR="00B02A41">
        <w:t xml:space="preserve">Information About </w:t>
      </w:r>
      <w:r w:rsidRPr="00B02A41">
        <w:rPr>
          <w:i/>
        </w:rPr>
        <w:t>Policy and Practice:</w:t>
      </w:r>
      <w:r w:rsidR="00532B8F" w:rsidRPr="00B02A41">
        <w:rPr>
          <w:i/>
        </w:rPr>
        <w:t xml:space="preserve"> </w:t>
      </w:r>
      <w:r w:rsidRPr="00B02A41">
        <w:rPr>
          <w:bCs w:val="0"/>
          <w:i/>
        </w:rPr>
        <w:t>Government Measures to Increase Human Capital</w:t>
      </w:r>
    </w:p>
    <w:p w:rsidR="007C6890" w:rsidRDefault="007C6890" w:rsidP="00995859">
      <w:pPr>
        <w:pStyle w:val="H3"/>
        <w:rPr>
          <w:lang w:val="pt-BR"/>
        </w:rPr>
      </w:pPr>
      <w:r>
        <w:rPr>
          <w:lang w:val="pt-BR"/>
        </w:rPr>
        <w:t>Data Source</w:t>
      </w:r>
    </w:p>
    <w:p w:rsidR="007C6890" w:rsidRDefault="007C6890">
      <w:pPr>
        <w:pStyle w:val="T1"/>
      </w:pPr>
      <w:r>
        <w:rPr>
          <w:lang w:val="pt-BR"/>
        </w:rPr>
        <w:t xml:space="preserve">UNESCO database: http://stats.uis.unesco.org/unesco/ReportFolders/ReportFolders.aspx. </w:t>
      </w:r>
      <w:r>
        <w:t>Here you can find extensive information about different education measurements, like enrollment rates for countries that are members of the U</w:t>
      </w:r>
      <w:r w:rsidR="00B02A41">
        <w:t xml:space="preserve">nited </w:t>
      </w:r>
      <w:r>
        <w:t>N</w:t>
      </w:r>
      <w:r w:rsidR="00B02A41">
        <w:t>ations</w:t>
      </w:r>
      <w:r>
        <w:t>. You can also get a chart by selecting the table first and then the “see as a chart” icon.</w:t>
      </w:r>
    </w:p>
    <w:p w:rsidR="007C6890" w:rsidRDefault="007C6890" w:rsidP="00995859">
      <w:pPr>
        <w:pStyle w:val="H3"/>
      </w:pPr>
      <w:r>
        <w:t>Related Article</w:t>
      </w:r>
    </w:p>
    <w:p w:rsidR="007C6890" w:rsidRDefault="007C6890" w:rsidP="00726BF4">
      <w:pPr>
        <w:pStyle w:val="T1"/>
        <w:keepNext w:val="0"/>
      </w:pPr>
      <w:r>
        <w:t>White House</w:t>
      </w:r>
      <w:r w:rsidR="00B02A41">
        <w:t>,</w:t>
      </w:r>
      <w:r>
        <w:t xml:space="preserve"> “President Obama to Announce Major Expansion of ‘Educate to Innovate’ Campaign to Improve Science, Technology, Engineering and Math (STEM) Education</w:t>
      </w:r>
      <w:r w:rsidR="00B02A41">
        <w:t>,</w:t>
      </w:r>
      <w:r>
        <w:t>” September 16, 2010</w:t>
      </w:r>
      <w:r w:rsidR="00B02A41">
        <w:t>:</w:t>
      </w:r>
      <w:r>
        <w:t xml:space="preserve"> http://www.whitehouse.gov/the-press-office/2010/09/16/president-obama-announce-major-expansion-educate-innovate-campaign-impro. This press release indicates the U.S. effort to improve its education quality. </w:t>
      </w:r>
    </w:p>
    <w:p w:rsidR="007C6890" w:rsidRDefault="007C6890" w:rsidP="00995859">
      <w:pPr>
        <w:pStyle w:val="H3"/>
      </w:pPr>
      <w:r>
        <w:lastRenderedPageBreak/>
        <w:t>Discussion Question</w:t>
      </w:r>
    </w:p>
    <w:p w:rsidR="007C6890" w:rsidRPr="00B02A41" w:rsidRDefault="007C6890" w:rsidP="00995859">
      <w:pPr>
        <w:pStyle w:val="T1"/>
        <w:keepNext w:val="0"/>
      </w:pPr>
      <w:r w:rsidRPr="00B02A41">
        <w:t xml:space="preserve">During the second half of the </w:t>
      </w:r>
      <w:r w:rsidR="00B02A41" w:rsidRPr="00B02A41">
        <w:t xml:space="preserve">twentieth century,  </w:t>
      </w:r>
      <w:r w:rsidRPr="00B02A41">
        <w:t>many poor countries invested heavily in education</w:t>
      </w:r>
      <w:r w:rsidR="00B02A41" w:rsidRPr="00B02A41">
        <w:t xml:space="preserve"> and </w:t>
      </w:r>
      <w:r w:rsidRPr="00B02A41">
        <w:t>dramatically increasing their enrollment rates. Despite this effort, most of them remain poor. How is this possible?</w:t>
      </w:r>
    </w:p>
    <w:p w:rsidR="007C6890" w:rsidRDefault="007C6890">
      <w:pPr>
        <w:pStyle w:val="T2"/>
      </w:pPr>
      <w:r>
        <w:rPr>
          <w:spacing w:val="-2"/>
        </w:rPr>
        <w:t>Answer: Investing in education does not guarantee an improvement in human capital or an increase in labor</w:t>
      </w:r>
      <w:r>
        <w:t xml:space="preserve"> productivity. Many poor countries learned this lesson the hard way. Huge investments in education during the second half of the </w:t>
      </w:r>
      <w:r w:rsidR="00B02A41">
        <w:t xml:space="preserve">twentieth </w:t>
      </w:r>
      <w:r>
        <w:t xml:space="preserve">century in many developing countries resulted in an increase in enrollment rates. However, after some time the newly enrolled children realized they had no or very few job opportunities in which to put to work their acquired skills. This quickly undermined the efforts put forward by their governments. Education is a necessary condition to increase productivity and create growth but is not sufficient. Other aspects, like the availability of good paying jobs, are very important for this equation. From an empirical point of view, there are many interesting subtleties to consider; for example, enrollment rates only measure enrolled students but do not measure the quality of education. In addition, corruption often plagued governments’ efforts to increase investment in education. </w:t>
      </w:r>
    </w:p>
    <w:p w:rsidR="007C6890" w:rsidRPr="00B02A41" w:rsidRDefault="007C6890" w:rsidP="003C2717">
      <w:pPr>
        <w:pStyle w:val="H2"/>
      </w:pPr>
      <w:r>
        <w:t xml:space="preserve">B. For </w:t>
      </w:r>
      <w:r w:rsidR="00B02A41">
        <w:t xml:space="preserve">Information About </w:t>
      </w:r>
      <w:r w:rsidRPr="00B02A41">
        <w:rPr>
          <w:i/>
        </w:rPr>
        <w:t>Policy and Practice:</w:t>
      </w:r>
      <w:r w:rsidR="00532B8F" w:rsidRPr="00B02A41">
        <w:rPr>
          <w:i/>
        </w:rPr>
        <w:t xml:space="preserve"> </w:t>
      </w:r>
      <w:r w:rsidRPr="00B02A41">
        <w:rPr>
          <w:bCs w:val="0"/>
          <w:i/>
        </w:rPr>
        <w:t xml:space="preserve">The World Bank’s </w:t>
      </w:r>
      <w:r w:rsidRPr="00B02A41">
        <w:rPr>
          <w:bCs w:val="0"/>
          <w:iCs/>
        </w:rPr>
        <w:t>Doing Business</w:t>
      </w:r>
    </w:p>
    <w:p w:rsidR="007C6890" w:rsidRDefault="007C6890" w:rsidP="00995859">
      <w:pPr>
        <w:pStyle w:val="H3"/>
      </w:pPr>
      <w:r>
        <w:t>Data Source</w:t>
      </w:r>
    </w:p>
    <w:p w:rsidR="007C6890" w:rsidRDefault="007C6890">
      <w:pPr>
        <w:pStyle w:val="T1"/>
      </w:pPr>
      <w:r>
        <w:t xml:space="preserve">World Bank: http://www.doingbusiness.org/rankings. Here you can find the </w:t>
      </w:r>
      <w:r>
        <w:rPr>
          <w:i/>
        </w:rPr>
        <w:t>Doing Business</w:t>
      </w:r>
      <w:r>
        <w:t xml:space="preserve"> report. </w:t>
      </w:r>
    </w:p>
    <w:p w:rsidR="007C6890" w:rsidRDefault="007C6890" w:rsidP="00995859">
      <w:pPr>
        <w:pStyle w:val="H3"/>
      </w:pPr>
      <w:r>
        <w:t>Related Article</w:t>
      </w:r>
    </w:p>
    <w:p w:rsidR="007C6890" w:rsidRDefault="007C6890">
      <w:pPr>
        <w:pStyle w:val="T1"/>
      </w:pPr>
      <w:r>
        <w:t xml:space="preserve">Espinosa, Alberto, “Colombia: Private Help for a Public Problem”: http://www.doingbusiness.org/reforms/case-studies/2009/building-permit-process-reform-in-colombia. This article refers to one of many attempts by Colombia to improve its </w:t>
      </w:r>
      <w:r>
        <w:rPr>
          <w:i/>
        </w:rPr>
        <w:t>Doing Business</w:t>
      </w:r>
      <w:r>
        <w:t xml:space="preserve"> ranking. </w:t>
      </w:r>
    </w:p>
    <w:p w:rsidR="007C6890" w:rsidRDefault="007C6890" w:rsidP="00995859">
      <w:pPr>
        <w:pStyle w:val="H3"/>
      </w:pPr>
      <w:r>
        <w:t>Discussion Questions</w:t>
      </w:r>
    </w:p>
    <w:p w:rsidR="007C6890" w:rsidRDefault="007C6890">
      <w:pPr>
        <w:pStyle w:val="T1"/>
      </w:pPr>
      <w:r>
        <w:t xml:space="preserve">What would be the consequences for both a domestic entrepreneur and a foreign investor of a country improving its </w:t>
      </w:r>
      <w:r>
        <w:rPr>
          <w:i/>
        </w:rPr>
        <w:t>Doing Business</w:t>
      </w:r>
      <w:r>
        <w:t xml:space="preserve"> ranking? How would this benefit that country?</w:t>
      </w:r>
    </w:p>
    <w:p w:rsidR="007C6890" w:rsidRDefault="007C6890">
      <w:pPr>
        <w:pStyle w:val="T2"/>
      </w:pPr>
      <w:r>
        <w:t xml:space="preserve">Answer: Improving the channels by which one can set a legal business (i.e., improving its </w:t>
      </w:r>
      <w:r>
        <w:rPr>
          <w:i/>
        </w:rPr>
        <w:t>Doing Business</w:t>
      </w:r>
      <w:r>
        <w:t xml:space="preserve"> ranking position) has many important implications for both domestic and foreign investors. First, the setting of a legal business is an upfront cost an entrepreneur has to face. Decreasing that cost makes </w:t>
      </w:r>
      <w:r w:rsidR="00186514">
        <w:t xml:space="preserve">it </w:t>
      </w:r>
      <w:r>
        <w:t>more likely</w:t>
      </w:r>
      <w:r w:rsidR="00186514" w:rsidRPr="00186514">
        <w:t xml:space="preserve"> </w:t>
      </w:r>
      <w:r w:rsidR="00186514">
        <w:t>projects</w:t>
      </w:r>
      <w:r>
        <w:t xml:space="preserve"> </w:t>
      </w:r>
      <w:r w:rsidR="00186514">
        <w:t xml:space="preserve">will </w:t>
      </w:r>
      <w:r>
        <w:t xml:space="preserve">be undertaken. Second, when it is costly (in terms of time and money) to set up a legal business, many individuals opt for the alternative. This drives away customers from legally set up businesses, which not only have to pay for licenses but also compete for customers with illegal businesses. Also, high costs of setting </w:t>
      </w:r>
      <w:r w:rsidR="00A7710A">
        <w:t xml:space="preserve">up </w:t>
      </w:r>
      <w:r>
        <w:t xml:space="preserve">a legal business are usually associated with high corruption levels, as corruption becomes the alternative to obtain some licenses needed to operate. This drives away foreign investors, who usually do not have the knowledge or willingness necessary to engage in such practices. To conclude, an improvement in the </w:t>
      </w:r>
      <w:r>
        <w:rPr>
          <w:i/>
        </w:rPr>
        <w:t>Doing Business</w:t>
      </w:r>
      <w:r>
        <w:t xml:space="preserve"> ranking should promote investment and</w:t>
      </w:r>
      <w:r w:rsidR="00A7710A">
        <w:t>,</w:t>
      </w:r>
      <w:r>
        <w:t xml:space="preserve"> therefore</w:t>
      </w:r>
      <w:r w:rsidR="00A7710A">
        <w:t>,</w:t>
      </w:r>
      <w:r>
        <w:t xml:space="preserve"> economic growth in an economy. </w:t>
      </w:r>
    </w:p>
    <w:p w:rsidR="007C6890" w:rsidRDefault="007C6890">
      <w:pPr>
        <w:pStyle w:val="H2"/>
        <w:rPr>
          <w:bCs w:val="0"/>
        </w:rPr>
      </w:pPr>
      <w:r>
        <w:t xml:space="preserve">C. For </w:t>
      </w:r>
      <w:r w:rsidR="00A7710A">
        <w:t xml:space="preserve">Information About </w:t>
      </w:r>
      <w:r w:rsidRPr="00A7710A">
        <w:rPr>
          <w:i/>
        </w:rPr>
        <w:t>Policy and Practice:</w:t>
      </w:r>
      <w:r w:rsidR="00532B8F" w:rsidRPr="00A7710A">
        <w:rPr>
          <w:i/>
        </w:rPr>
        <w:t xml:space="preserve"> </w:t>
      </w:r>
      <w:r w:rsidRPr="00A7710A">
        <w:rPr>
          <w:bCs w:val="0"/>
          <w:i/>
        </w:rPr>
        <w:t>Does Foreign Aid Work?</w:t>
      </w:r>
    </w:p>
    <w:p w:rsidR="007C6890" w:rsidRDefault="007C6890" w:rsidP="00995859">
      <w:pPr>
        <w:pStyle w:val="H3"/>
      </w:pPr>
      <w:r>
        <w:t>Data Source</w:t>
      </w:r>
    </w:p>
    <w:p w:rsidR="0000583D" w:rsidRDefault="0000583D" w:rsidP="00995859">
      <w:pPr>
        <w:pStyle w:val="T1"/>
        <w:keepNext w:val="0"/>
      </w:pPr>
      <w:r>
        <w:t xml:space="preserve">USAID (the U.S. agency in charge of U.S. foreign aid): </w:t>
      </w:r>
      <w:r w:rsidRPr="003C2717">
        <w:t>http://www.usaid.gov/results-and-data/budget-spending/where-does-money-go</w:t>
      </w:r>
      <w:r w:rsidR="00A7710A">
        <w:t>.</w:t>
      </w:r>
      <w:r>
        <w:t xml:space="preserve">  This link provides a snapshot of where USAID’s money goes. </w:t>
      </w:r>
    </w:p>
    <w:p w:rsidR="007C6890" w:rsidRDefault="007C6890" w:rsidP="00995859">
      <w:pPr>
        <w:pStyle w:val="H3"/>
      </w:pPr>
      <w:r>
        <w:lastRenderedPageBreak/>
        <w:t>Related Article</w:t>
      </w:r>
    </w:p>
    <w:p w:rsidR="007C6890" w:rsidRDefault="007C6890" w:rsidP="00995859">
      <w:pPr>
        <w:pStyle w:val="T1"/>
        <w:keepNext w:val="0"/>
      </w:pPr>
      <w:r>
        <w:t xml:space="preserve">Alesina, Alberto and </w:t>
      </w:r>
      <w:r w:rsidR="00A7710A">
        <w:t xml:space="preserve">David </w:t>
      </w:r>
      <w:r>
        <w:t>Dollar, “Who Gives Foreign Aid to Whom and Why?”</w:t>
      </w:r>
      <w:r w:rsidR="00A7710A">
        <w:t>:</w:t>
      </w:r>
      <w:r>
        <w:t xml:space="preserve"> http://www.nber.org/papers/w6612. This paper is a comprehensive study of foreign aid flows. </w:t>
      </w:r>
    </w:p>
    <w:p w:rsidR="007C6890" w:rsidRDefault="007C6890" w:rsidP="00995859">
      <w:pPr>
        <w:pStyle w:val="H3"/>
      </w:pPr>
      <w:r>
        <w:t>Discussion Question</w:t>
      </w:r>
    </w:p>
    <w:p w:rsidR="007C6890" w:rsidRDefault="007C6890" w:rsidP="00995859">
      <w:pPr>
        <w:pStyle w:val="T1"/>
        <w:keepNext w:val="0"/>
      </w:pPr>
      <w:r>
        <w:t xml:space="preserve">Consider the above paper: “Who Gives Foreign Aid to Whom and Why?” What would be the result in terms of economic growth of foreign aid flows destined to support a poor country’s government in exchange </w:t>
      </w:r>
      <w:r w:rsidR="00A7710A">
        <w:t xml:space="preserve">for </w:t>
      </w:r>
      <w:r>
        <w:t>political favors?</w:t>
      </w:r>
    </w:p>
    <w:p w:rsidR="007C6890" w:rsidRPr="00A7710A" w:rsidRDefault="007C6890">
      <w:pPr>
        <w:pStyle w:val="T2"/>
      </w:pPr>
      <w:r w:rsidRPr="00A7710A">
        <w:t xml:space="preserve">Answer: Even if used properly, foreign aid flows do not guarantee an increase in economic growth. However, some types of foreign aid, especially those that aim to secure political favors, have a lower probability of affecting the recipient economy. A few developed countries used this mechanism to gain developing countries’ governments support (i.e., votes) in some scenarios (e.g., the United Nations assembly). Of course this was never proved, but empirical data (see paper) shows that there is some truth behind this hypothesis (there is a positive correlation with “voting together” and “foreign aid flows”). Such a reason to give foreign aid decreases the probability that these funds will be used to spur economic growth. </w:t>
      </w:r>
    </w:p>
    <w:p w:rsidR="007C6890" w:rsidRPr="00A7710A" w:rsidRDefault="007C6890" w:rsidP="003C2717">
      <w:pPr>
        <w:pStyle w:val="H2"/>
        <w:rPr>
          <w:i/>
        </w:rPr>
      </w:pPr>
      <w:r>
        <w:t xml:space="preserve">D. For </w:t>
      </w:r>
      <w:r w:rsidR="00A7710A">
        <w:t xml:space="preserve">Information About </w:t>
      </w:r>
      <w:r w:rsidRPr="00A7710A">
        <w:rPr>
          <w:i/>
        </w:rPr>
        <w:t>Application: Does Population</w:t>
      </w:r>
      <w:r w:rsidR="00532B8F" w:rsidRPr="00A7710A">
        <w:rPr>
          <w:i/>
        </w:rPr>
        <w:t xml:space="preserve"> </w:t>
      </w:r>
      <w:r w:rsidRPr="00A7710A">
        <w:rPr>
          <w:i/>
        </w:rPr>
        <w:t>Growth Improve Living Standards?</w:t>
      </w:r>
    </w:p>
    <w:p w:rsidR="007C6890" w:rsidRDefault="007C6890" w:rsidP="00995859">
      <w:pPr>
        <w:pStyle w:val="H3"/>
      </w:pPr>
      <w:r>
        <w:t>Data Source</w:t>
      </w:r>
    </w:p>
    <w:p w:rsidR="007C6890" w:rsidRDefault="007C6890">
      <w:pPr>
        <w:pStyle w:val="T1"/>
      </w:pPr>
      <w:r>
        <w:t>Maddison, Angus,</w:t>
      </w:r>
      <w:r w:rsidR="0000583D" w:rsidRPr="0000583D">
        <w:t xml:space="preserve"> </w:t>
      </w:r>
      <w:r w:rsidR="0000583D">
        <w:t xml:space="preserve">“Statistics on World Population, GDP and Per Capita GDP, 1-2008 AD”: </w:t>
      </w:r>
      <w:r w:rsidR="0000583D" w:rsidRPr="00C7778B">
        <w:t>http://www.ggdc.net/maddison/maddison-project/data.htm</w:t>
      </w:r>
      <w:r w:rsidR="0000583D">
        <w:t xml:space="preserve"> </w:t>
      </w:r>
      <w:r>
        <w:t xml:space="preserve">Here you can find extensive data about world population and GDP (including data to reproduce </w:t>
      </w:r>
      <w:r w:rsidR="00A7710A">
        <w:t xml:space="preserve">text figure </w:t>
      </w:r>
      <w:r>
        <w:t xml:space="preserve">Figure 7.5). </w:t>
      </w:r>
    </w:p>
    <w:p w:rsidR="007C6890" w:rsidRDefault="007C6890" w:rsidP="00995859">
      <w:pPr>
        <w:pStyle w:val="H3"/>
      </w:pPr>
      <w:r>
        <w:t>Related Article</w:t>
      </w:r>
    </w:p>
    <w:p w:rsidR="007C6890" w:rsidRDefault="007C6890">
      <w:pPr>
        <w:pStyle w:val="T1"/>
      </w:pPr>
      <w:r>
        <w:t xml:space="preserve">World Bank, “World Development Indicators”: </w:t>
      </w:r>
      <w:r w:rsidR="0000583D" w:rsidRPr="00C7778B">
        <w:t>http://data.worldbank.org/data-catalog/world-development-indicators/wdi-2012</w:t>
      </w:r>
      <w:r w:rsidR="0000583D">
        <w:t xml:space="preserve"> . </w:t>
      </w:r>
      <w:r>
        <w:t xml:space="preserve">Click on the “People” link to get a comprehensive study about the relationship between world population and living standards in the near future. </w:t>
      </w:r>
    </w:p>
    <w:p w:rsidR="007C6890" w:rsidRDefault="007C6890" w:rsidP="00995859">
      <w:pPr>
        <w:pStyle w:val="H3"/>
      </w:pPr>
      <w:r>
        <w:t>Discussion Question</w:t>
      </w:r>
    </w:p>
    <w:p w:rsidR="007C6890" w:rsidRDefault="007C6890">
      <w:pPr>
        <w:pStyle w:val="T1"/>
      </w:pPr>
      <w:r>
        <w:t>According to Michael Kremer’s conclusions about the link between population growth and technological change, what do you think would be the consequence of a stagnating world population on the rate of technological change?</w:t>
      </w:r>
    </w:p>
    <w:p w:rsidR="007C6890" w:rsidRDefault="007C6890">
      <w:pPr>
        <w:pStyle w:val="T2"/>
      </w:pPr>
      <w:r>
        <w:t xml:space="preserve">Answer: A stagnating world population would decrease the rate of technological advance, according to the idea that individuals are more prone to innovate as they face challenges imposed by greater needs. This is </w:t>
      </w:r>
      <w:r>
        <w:rPr>
          <w:spacing w:val="-2"/>
        </w:rPr>
        <w:t>the reasoning behind Kremer’s conclusion: More populated societies faced increasing challenges to produce</w:t>
      </w:r>
      <w:r>
        <w:t xml:space="preserve"> food, improve transportation means, and so on. This resulted in more rapid technological changes. Also, one can assume that the existence of more individuals increases the chance that at least one of them will discover a new production process or otherwise advance our technological knowledge. A decrease in the </w:t>
      </w:r>
      <w:r>
        <w:rPr>
          <w:spacing w:val="-3"/>
        </w:rPr>
        <w:t>world population growth rate would result in fewer challenges and</w:t>
      </w:r>
      <w:r w:rsidR="00A7710A">
        <w:rPr>
          <w:spacing w:val="-3"/>
        </w:rPr>
        <w:t>,</w:t>
      </w:r>
      <w:r>
        <w:rPr>
          <w:spacing w:val="-3"/>
        </w:rPr>
        <w:t xml:space="preserve"> therefore</w:t>
      </w:r>
      <w:r w:rsidR="00A7710A">
        <w:rPr>
          <w:spacing w:val="-3"/>
        </w:rPr>
        <w:t>,</w:t>
      </w:r>
      <w:r>
        <w:rPr>
          <w:spacing w:val="-3"/>
        </w:rPr>
        <w:t xml:space="preserve"> in a lower rate of technological</w:t>
      </w:r>
      <w:r>
        <w:t xml:space="preserve"> change, according to this idea. Most demographic studies conclude that by around the year 2050 the world population will stagnate at around 9 to 10 billion people; what </w:t>
      </w:r>
      <w:r w:rsidR="00A7710A">
        <w:t xml:space="preserve">will </w:t>
      </w:r>
      <w:r>
        <w:t>happen to the rate of technological change remains to be seen.</w:t>
      </w:r>
    </w:p>
    <w:p w:rsidR="007C6890" w:rsidRDefault="007C6890"/>
    <w:sectPr w:rsidR="007C6890" w:rsidSect="000B6786">
      <w:headerReference w:type="even" r:id="rId20"/>
      <w:headerReference w:type="default" r:id="rId21"/>
      <w:footerReference w:type="even" r:id="rId22"/>
      <w:footerReference w:type="default" r:id="rId23"/>
      <w:footerReference w:type="first" r:id="rId24"/>
      <w:pgSz w:w="12240" w:h="15840" w:code="1"/>
      <w:pgMar w:top="1440" w:right="1008" w:bottom="1440" w:left="1800" w:header="720" w:footer="720" w:gutter="0"/>
      <w:pgNumType w:start="7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B0B7C" w:rsidRDefault="001B0B7C">
      <w:r>
        <w:separator/>
      </w:r>
    </w:p>
  </w:endnote>
  <w:endnote w:type="continuationSeparator" w:id="0">
    <w:p w:rsidR="001B0B7C" w:rsidRDefault="001B0B7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Times">
    <w:panose1 w:val="020206030504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k">
    <w:altName w:val="Times New Roman"/>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7AE6" w:rsidRDefault="00497AE6">
    <w:pPr>
      <w:pBdr>
        <w:top w:val="single" w:sz="4" w:space="1" w:color="auto"/>
      </w:pBdr>
      <w:spacing w:before="360"/>
      <w:jc w:val="center"/>
      <w:rPr>
        <w:rFonts w:ascii="Times" w:hAnsi="Times"/>
        <w:sz w:val="18"/>
      </w:rPr>
    </w:pPr>
    <w:r>
      <w:rPr>
        <w:rFonts w:ascii="Times" w:hAnsi="Times"/>
        <w:sz w:val="18"/>
      </w:rPr>
      <w:t>© 201</w:t>
    </w:r>
    <w:r w:rsidR="002F51B4">
      <w:rPr>
        <w:rFonts w:ascii="Times" w:hAnsi="Times"/>
        <w:sz w:val="18"/>
      </w:rPr>
      <w:t>5</w:t>
    </w:r>
    <w:r>
      <w:rPr>
        <w:rFonts w:ascii="Times" w:hAnsi="Times"/>
        <w:sz w:val="18"/>
      </w:rPr>
      <w:t xml:space="preserve"> Pearson Education, Inc. </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7AE6" w:rsidRDefault="00497AE6">
    <w:pPr>
      <w:pBdr>
        <w:top w:val="single" w:sz="4" w:space="1" w:color="auto"/>
      </w:pBdr>
      <w:spacing w:before="360"/>
      <w:jc w:val="center"/>
      <w:rPr>
        <w:rFonts w:ascii="Times" w:hAnsi="Times"/>
        <w:sz w:val="18"/>
      </w:rPr>
    </w:pPr>
    <w:r>
      <w:rPr>
        <w:rFonts w:ascii="Times" w:hAnsi="Times"/>
        <w:sz w:val="18"/>
      </w:rPr>
      <w:t>© 201</w:t>
    </w:r>
    <w:r w:rsidR="002F51B4">
      <w:rPr>
        <w:rFonts w:ascii="Times" w:hAnsi="Times"/>
        <w:sz w:val="18"/>
      </w:rPr>
      <w:t>5</w:t>
    </w:r>
    <w:r>
      <w:rPr>
        <w:rFonts w:ascii="Times" w:hAnsi="Times"/>
        <w:sz w:val="18"/>
      </w:rPr>
      <w:t xml:space="preserve"> Pearson Education, Inc</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7AE6" w:rsidRDefault="00497AE6">
    <w:pPr>
      <w:pBdr>
        <w:top w:val="single" w:sz="4" w:space="1" w:color="auto"/>
      </w:pBdr>
      <w:spacing w:before="360"/>
      <w:jc w:val="center"/>
      <w:rPr>
        <w:rFonts w:ascii="Times" w:hAnsi="Times"/>
        <w:sz w:val="18"/>
      </w:rPr>
    </w:pPr>
    <w:r>
      <w:rPr>
        <w:rFonts w:ascii="Times" w:hAnsi="Times"/>
        <w:sz w:val="18"/>
      </w:rPr>
      <w:t>© 201</w:t>
    </w:r>
    <w:r w:rsidR="002F51B4">
      <w:rPr>
        <w:rFonts w:ascii="Times" w:hAnsi="Times"/>
        <w:sz w:val="18"/>
      </w:rPr>
      <w:t>5</w:t>
    </w:r>
    <w:r>
      <w:rPr>
        <w:rFonts w:ascii="Times" w:hAnsi="Times"/>
        <w:sz w:val="18"/>
      </w:rPr>
      <w:t xml:space="preserve"> Pearson Education, Inc.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B0B7C" w:rsidRDefault="001B0B7C">
      <w:r>
        <w:separator/>
      </w:r>
    </w:p>
  </w:footnote>
  <w:footnote w:type="continuationSeparator" w:id="0">
    <w:p w:rsidR="001B0B7C" w:rsidRDefault="001B0B7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7AE6" w:rsidRDefault="00FE0395">
    <w:fldSimple w:instr=" PAGE ">
      <w:r w:rsidR="00D272CB">
        <w:rPr>
          <w:noProof/>
        </w:rPr>
        <w:t>80</w:t>
      </w:r>
    </w:fldSimple>
    <w:r w:rsidR="00497AE6">
      <w:t> </w:t>
    </w:r>
    <w:r w:rsidR="00497AE6">
      <w:t> </w:t>
    </w:r>
    <w:proofErr w:type="spellStart"/>
    <w:r w:rsidR="00497AE6">
      <w:t>Mishkin</w:t>
    </w:r>
    <w:proofErr w:type="spellEnd"/>
    <w:r w:rsidR="00497AE6">
      <w:t> </w:t>
    </w:r>
    <w:r w:rsidR="00497AE6">
      <w:t>•</w:t>
    </w:r>
    <w:r w:rsidR="00497AE6">
      <w:t> </w:t>
    </w:r>
    <w:r w:rsidR="00497AE6">
      <w:rPr>
        <w:i/>
      </w:rPr>
      <w:t xml:space="preserve">Macroeconomics: Policy and Practice, </w:t>
    </w:r>
    <w:r w:rsidR="002F51B4">
      <w:t>Second</w:t>
    </w:r>
    <w:r w:rsidR="00497AE6">
      <w:t xml:space="preserve"> Edition</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7AE6" w:rsidRDefault="00497AE6" w:rsidP="00E235C5">
    <w:pPr>
      <w:jc w:val="right"/>
    </w:pPr>
    <w:r>
      <w:t>Chapter 7</w:t>
    </w:r>
    <w:r>
      <w:t> </w:t>
    </w:r>
    <w:r>
      <w:rPr>
        <w:szCs w:val="32"/>
      </w:rPr>
      <w:t xml:space="preserve">Drivers of Growth: Technology, Policy, and </w:t>
    </w:r>
    <w:r>
      <w:t>Institutions</w:t>
    </w:r>
    <w:r>
      <w:rPr>
        <w:bCs/>
      </w:rPr>
      <w:t> </w:t>
    </w:r>
    <w:r>
      <w:t> </w:t>
    </w:r>
    <w:fldSimple w:instr=" PAGE ">
      <w:r w:rsidR="00D272CB">
        <w:rPr>
          <w:noProof/>
        </w:rPr>
        <w:t>79</w:t>
      </w:r>
    </w:fldSimple>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D012E42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2FCDC70"/>
    <w:lvl w:ilvl="0">
      <w:start w:val="1"/>
      <w:numFmt w:val="decimal"/>
      <w:lvlText w:val="%1."/>
      <w:lvlJc w:val="left"/>
      <w:pPr>
        <w:tabs>
          <w:tab w:val="num" w:pos="1800"/>
        </w:tabs>
        <w:ind w:left="1800" w:hanging="360"/>
      </w:pPr>
    </w:lvl>
  </w:abstractNum>
  <w:abstractNum w:abstractNumId="2">
    <w:nsid w:val="FFFFFF7D"/>
    <w:multiLevelType w:val="singleLevel"/>
    <w:tmpl w:val="27B0EECE"/>
    <w:lvl w:ilvl="0">
      <w:start w:val="1"/>
      <w:numFmt w:val="decimal"/>
      <w:lvlText w:val="%1."/>
      <w:lvlJc w:val="left"/>
      <w:pPr>
        <w:tabs>
          <w:tab w:val="num" w:pos="1440"/>
        </w:tabs>
        <w:ind w:left="1440" w:hanging="360"/>
      </w:pPr>
    </w:lvl>
  </w:abstractNum>
  <w:abstractNum w:abstractNumId="3">
    <w:nsid w:val="FFFFFF7E"/>
    <w:multiLevelType w:val="singleLevel"/>
    <w:tmpl w:val="E904E5EC"/>
    <w:lvl w:ilvl="0">
      <w:start w:val="1"/>
      <w:numFmt w:val="decimal"/>
      <w:lvlText w:val="%1."/>
      <w:lvlJc w:val="left"/>
      <w:pPr>
        <w:tabs>
          <w:tab w:val="num" w:pos="1080"/>
        </w:tabs>
        <w:ind w:left="1080" w:hanging="360"/>
      </w:pPr>
    </w:lvl>
  </w:abstractNum>
  <w:abstractNum w:abstractNumId="4">
    <w:nsid w:val="FFFFFF7F"/>
    <w:multiLevelType w:val="singleLevel"/>
    <w:tmpl w:val="2272EF74"/>
    <w:lvl w:ilvl="0">
      <w:start w:val="1"/>
      <w:numFmt w:val="decimal"/>
      <w:lvlText w:val="%1."/>
      <w:lvlJc w:val="left"/>
      <w:pPr>
        <w:tabs>
          <w:tab w:val="num" w:pos="720"/>
        </w:tabs>
        <w:ind w:left="720" w:hanging="360"/>
      </w:pPr>
    </w:lvl>
  </w:abstractNum>
  <w:abstractNum w:abstractNumId="5">
    <w:nsid w:val="FFFFFF80"/>
    <w:multiLevelType w:val="singleLevel"/>
    <w:tmpl w:val="BB9C03D8"/>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B9A409A"/>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B80A212"/>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0F70B9E0"/>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6B8F0DC"/>
    <w:lvl w:ilvl="0">
      <w:start w:val="1"/>
      <w:numFmt w:val="decimal"/>
      <w:lvlText w:val="%1."/>
      <w:lvlJc w:val="left"/>
      <w:pPr>
        <w:tabs>
          <w:tab w:val="num" w:pos="360"/>
        </w:tabs>
        <w:ind w:left="360" w:hanging="360"/>
      </w:pPr>
    </w:lvl>
  </w:abstractNum>
  <w:abstractNum w:abstractNumId="10">
    <w:nsid w:val="FFFFFF89"/>
    <w:multiLevelType w:val="singleLevel"/>
    <w:tmpl w:val="2C9007C6"/>
    <w:lvl w:ilvl="0">
      <w:start w:val="1"/>
      <w:numFmt w:val="bullet"/>
      <w:lvlText w:val=""/>
      <w:lvlJc w:val="left"/>
      <w:pPr>
        <w:tabs>
          <w:tab w:val="num" w:pos="360"/>
        </w:tabs>
        <w:ind w:left="360" w:hanging="360"/>
      </w:pPr>
      <w:rPr>
        <w:rFonts w:ascii="Symbol" w:hAnsi="Symbol" w:hint="default"/>
      </w:rPr>
    </w:lvl>
  </w:abstractNum>
  <w:abstractNum w:abstractNumId="11">
    <w:nsid w:val="04DA490D"/>
    <w:multiLevelType w:val="hybridMultilevel"/>
    <w:tmpl w:val="7C3C6772"/>
    <w:lvl w:ilvl="0" w:tplc="04090017">
      <w:start w:val="1"/>
      <w:numFmt w:val="lowerLetter"/>
      <w:lvlText w:val="%1)"/>
      <w:lvlJc w:val="left"/>
      <w:pPr>
        <w:ind w:left="2520" w:hanging="360"/>
      </w:pPr>
      <w:rPr>
        <w:rFonts w:cs="Times New Roman"/>
      </w:rPr>
    </w:lvl>
    <w:lvl w:ilvl="1" w:tplc="04090019">
      <w:start w:val="1"/>
      <w:numFmt w:val="lowerLetter"/>
      <w:lvlText w:val="%2."/>
      <w:lvlJc w:val="left"/>
      <w:pPr>
        <w:ind w:left="3240" w:hanging="360"/>
      </w:pPr>
      <w:rPr>
        <w:rFonts w:cs="Times New Roman"/>
      </w:rPr>
    </w:lvl>
    <w:lvl w:ilvl="2" w:tplc="0409001B">
      <w:start w:val="1"/>
      <w:numFmt w:val="lowerRoman"/>
      <w:lvlText w:val="%3."/>
      <w:lvlJc w:val="right"/>
      <w:pPr>
        <w:ind w:left="3960" w:hanging="180"/>
      </w:pPr>
      <w:rPr>
        <w:rFonts w:cs="Times New Roman"/>
      </w:rPr>
    </w:lvl>
    <w:lvl w:ilvl="3" w:tplc="0409000F">
      <w:start w:val="1"/>
      <w:numFmt w:val="decimal"/>
      <w:lvlText w:val="%4."/>
      <w:lvlJc w:val="left"/>
      <w:pPr>
        <w:ind w:left="4680" w:hanging="360"/>
      </w:pPr>
      <w:rPr>
        <w:rFonts w:cs="Times New Roman"/>
      </w:rPr>
    </w:lvl>
    <w:lvl w:ilvl="4" w:tplc="04090019">
      <w:start w:val="1"/>
      <w:numFmt w:val="lowerLetter"/>
      <w:lvlText w:val="%5."/>
      <w:lvlJc w:val="left"/>
      <w:pPr>
        <w:ind w:left="5400" w:hanging="360"/>
      </w:pPr>
      <w:rPr>
        <w:rFonts w:cs="Times New Roman"/>
      </w:rPr>
    </w:lvl>
    <w:lvl w:ilvl="5" w:tplc="0409001B">
      <w:start w:val="1"/>
      <w:numFmt w:val="lowerRoman"/>
      <w:lvlText w:val="%6."/>
      <w:lvlJc w:val="right"/>
      <w:pPr>
        <w:ind w:left="6120" w:hanging="180"/>
      </w:pPr>
      <w:rPr>
        <w:rFonts w:cs="Times New Roman"/>
      </w:rPr>
    </w:lvl>
    <w:lvl w:ilvl="6" w:tplc="0409000F">
      <w:start w:val="1"/>
      <w:numFmt w:val="decimal"/>
      <w:lvlText w:val="%7."/>
      <w:lvlJc w:val="left"/>
      <w:pPr>
        <w:ind w:left="6840" w:hanging="360"/>
      </w:pPr>
      <w:rPr>
        <w:rFonts w:cs="Times New Roman"/>
      </w:rPr>
    </w:lvl>
    <w:lvl w:ilvl="7" w:tplc="04090019">
      <w:start w:val="1"/>
      <w:numFmt w:val="lowerLetter"/>
      <w:lvlText w:val="%8."/>
      <w:lvlJc w:val="left"/>
      <w:pPr>
        <w:ind w:left="7560" w:hanging="360"/>
      </w:pPr>
      <w:rPr>
        <w:rFonts w:cs="Times New Roman"/>
      </w:rPr>
    </w:lvl>
    <w:lvl w:ilvl="8" w:tplc="0409001B">
      <w:start w:val="1"/>
      <w:numFmt w:val="lowerRoman"/>
      <w:lvlText w:val="%9."/>
      <w:lvlJc w:val="right"/>
      <w:pPr>
        <w:ind w:left="8280" w:hanging="180"/>
      </w:pPr>
      <w:rPr>
        <w:rFonts w:cs="Times New Roman"/>
      </w:rPr>
    </w:lvl>
  </w:abstractNum>
  <w:abstractNum w:abstractNumId="12">
    <w:nsid w:val="04F37D4F"/>
    <w:multiLevelType w:val="hybridMultilevel"/>
    <w:tmpl w:val="12525072"/>
    <w:lvl w:ilvl="0" w:tplc="8C7CF780">
      <w:start w:val="1"/>
      <w:numFmt w:val="lowerLetter"/>
      <w:lvlText w:val="(%1)"/>
      <w:lvlJc w:val="left"/>
      <w:pPr>
        <w:ind w:left="1080" w:hanging="360"/>
      </w:pPr>
      <w:rPr>
        <w:rFonts w:ascii="Calibri" w:eastAsia="Calibri" w:hAnsi="Calibri"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07AC0237"/>
    <w:multiLevelType w:val="hybridMultilevel"/>
    <w:tmpl w:val="CF78A390"/>
    <w:lvl w:ilvl="0" w:tplc="9D740C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0A145DD6"/>
    <w:multiLevelType w:val="hybridMultilevel"/>
    <w:tmpl w:val="D486BAC0"/>
    <w:lvl w:ilvl="0" w:tplc="2B420C8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0E07670D"/>
    <w:multiLevelType w:val="hybridMultilevel"/>
    <w:tmpl w:val="C8064B0A"/>
    <w:lvl w:ilvl="0" w:tplc="62A242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112D0F00"/>
    <w:multiLevelType w:val="hybridMultilevel"/>
    <w:tmpl w:val="C4FEC200"/>
    <w:lvl w:ilvl="0" w:tplc="2B420C8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1155229D"/>
    <w:multiLevelType w:val="hybridMultilevel"/>
    <w:tmpl w:val="2244ED1A"/>
    <w:lvl w:ilvl="0" w:tplc="04090017">
      <w:start w:val="1"/>
      <w:numFmt w:val="lowerLetter"/>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8">
    <w:nsid w:val="1A08683A"/>
    <w:multiLevelType w:val="hybridMultilevel"/>
    <w:tmpl w:val="47445128"/>
    <w:lvl w:ilvl="0" w:tplc="0409000F">
      <w:start w:val="1"/>
      <w:numFmt w:val="decimal"/>
      <w:lvlText w:val="%1."/>
      <w:lvlJc w:val="left"/>
      <w:pPr>
        <w:tabs>
          <w:tab w:val="num" w:pos="360"/>
        </w:tabs>
        <w:ind w:left="360" w:hanging="360"/>
      </w:p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19">
    <w:nsid w:val="1D481C71"/>
    <w:multiLevelType w:val="hybridMultilevel"/>
    <w:tmpl w:val="8222E77E"/>
    <w:lvl w:ilvl="0" w:tplc="04090017">
      <w:start w:val="1"/>
      <w:numFmt w:val="lowerLetter"/>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0">
    <w:nsid w:val="42740DDB"/>
    <w:multiLevelType w:val="hybridMultilevel"/>
    <w:tmpl w:val="63588474"/>
    <w:lvl w:ilvl="0" w:tplc="E88E5668">
      <w:start w:val="1"/>
      <w:numFmt w:val="lowerLetter"/>
      <w:lvlText w:val="(%1)"/>
      <w:lvlJc w:val="left"/>
      <w:pPr>
        <w:ind w:left="1080" w:hanging="360"/>
      </w:pPr>
      <w:rPr>
        <w:i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nsid w:val="430A25EC"/>
    <w:multiLevelType w:val="hybridMultilevel"/>
    <w:tmpl w:val="18943A74"/>
    <w:lvl w:ilvl="0" w:tplc="0409000F">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2">
    <w:nsid w:val="44D56F6A"/>
    <w:multiLevelType w:val="hybridMultilevel"/>
    <w:tmpl w:val="8FBA670C"/>
    <w:lvl w:ilvl="0" w:tplc="258486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45CA0B93"/>
    <w:multiLevelType w:val="hybridMultilevel"/>
    <w:tmpl w:val="EF16DB44"/>
    <w:lvl w:ilvl="0" w:tplc="4DA05F5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4">
    <w:nsid w:val="487C7BAD"/>
    <w:multiLevelType w:val="hybridMultilevel"/>
    <w:tmpl w:val="DFE86188"/>
    <w:lvl w:ilvl="0" w:tplc="04090017">
      <w:start w:val="1"/>
      <w:numFmt w:val="lowerLetter"/>
      <w:lvlText w:val="%1)"/>
      <w:lvlJc w:val="left"/>
      <w:pPr>
        <w:ind w:left="1440" w:hanging="360"/>
      </w:pPr>
      <w:rPr>
        <w:rFonts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4E0B3EE7"/>
    <w:multiLevelType w:val="hybridMultilevel"/>
    <w:tmpl w:val="F74805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5B813464"/>
    <w:multiLevelType w:val="hybridMultilevel"/>
    <w:tmpl w:val="2B9080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nsid w:val="5D5E3850"/>
    <w:multiLevelType w:val="hybridMultilevel"/>
    <w:tmpl w:val="EDC64EDA"/>
    <w:lvl w:ilvl="0" w:tplc="04090017">
      <w:start w:val="1"/>
      <w:numFmt w:val="lowerLetter"/>
      <w:lvlText w:val="%1)"/>
      <w:lvlJc w:val="left"/>
      <w:pPr>
        <w:ind w:left="1800" w:hanging="360"/>
      </w:pPr>
      <w:rPr>
        <w:rFonts w:cs="Times New Roman" w:hint="default"/>
      </w:rPr>
    </w:lvl>
    <w:lvl w:ilvl="1" w:tplc="04090019">
      <w:start w:val="1"/>
      <w:numFmt w:val="lowerLetter"/>
      <w:lvlText w:val="%2."/>
      <w:lvlJc w:val="left"/>
      <w:pPr>
        <w:ind w:left="2520" w:hanging="360"/>
      </w:pPr>
      <w:rPr>
        <w:rFonts w:cs="Times New Roman"/>
      </w:rPr>
    </w:lvl>
    <w:lvl w:ilvl="2" w:tplc="0409001B">
      <w:start w:val="1"/>
      <w:numFmt w:val="lowerRoman"/>
      <w:lvlText w:val="%3."/>
      <w:lvlJc w:val="right"/>
      <w:pPr>
        <w:ind w:left="3240" w:hanging="180"/>
      </w:pPr>
      <w:rPr>
        <w:rFonts w:cs="Times New Roman"/>
      </w:rPr>
    </w:lvl>
    <w:lvl w:ilvl="3" w:tplc="0409000F">
      <w:start w:val="1"/>
      <w:numFmt w:val="decimal"/>
      <w:lvlText w:val="%4."/>
      <w:lvlJc w:val="left"/>
      <w:pPr>
        <w:ind w:left="3960" w:hanging="360"/>
      </w:pPr>
      <w:rPr>
        <w:rFonts w:cs="Times New Roman"/>
      </w:rPr>
    </w:lvl>
    <w:lvl w:ilvl="4" w:tplc="04090019">
      <w:start w:val="1"/>
      <w:numFmt w:val="lowerLetter"/>
      <w:lvlText w:val="%5."/>
      <w:lvlJc w:val="left"/>
      <w:pPr>
        <w:ind w:left="4680" w:hanging="360"/>
      </w:pPr>
      <w:rPr>
        <w:rFonts w:cs="Times New Roman"/>
      </w:rPr>
    </w:lvl>
    <w:lvl w:ilvl="5" w:tplc="0409001B">
      <w:start w:val="1"/>
      <w:numFmt w:val="lowerRoman"/>
      <w:lvlText w:val="%6."/>
      <w:lvlJc w:val="right"/>
      <w:pPr>
        <w:ind w:left="5400" w:hanging="180"/>
      </w:pPr>
      <w:rPr>
        <w:rFonts w:cs="Times New Roman"/>
      </w:rPr>
    </w:lvl>
    <w:lvl w:ilvl="6" w:tplc="0409000F">
      <w:start w:val="1"/>
      <w:numFmt w:val="decimal"/>
      <w:lvlText w:val="%7."/>
      <w:lvlJc w:val="left"/>
      <w:pPr>
        <w:ind w:left="6120" w:hanging="360"/>
      </w:pPr>
      <w:rPr>
        <w:rFonts w:cs="Times New Roman"/>
      </w:rPr>
    </w:lvl>
    <w:lvl w:ilvl="7" w:tplc="04090019">
      <w:start w:val="1"/>
      <w:numFmt w:val="lowerLetter"/>
      <w:lvlText w:val="%8."/>
      <w:lvlJc w:val="left"/>
      <w:pPr>
        <w:ind w:left="6840" w:hanging="360"/>
      </w:pPr>
      <w:rPr>
        <w:rFonts w:cs="Times New Roman"/>
      </w:rPr>
    </w:lvl>
    <w:lvl w:ilvl="8" w:tplc="0409001B">
      <w:start w:val="1"/>
      <w:numFmt w:val="lowerRoman"/>
      <w:lvlText w:val="%9."/>
      <w:lvlJc w:val="right"/>
      <w:pPr>
        <w:ind w:left="7560" w:hanging="180"/>
      </w:pPr>
      <w:rPr>
        <w:rFonts w:cs="Times New Roman"/>
      </w:rPr>
    </w:lvl>
  </w:abstractNum>
  <w:abstractNum w:abstractNumId="28">
    <w:nsid w:val="5FBB492A"/>
    <w:multiLevelType w:val="hybridMultilevel"/>
    <w:tmpl w:val="846EE3C4"/>
    <w:lvl w:ilvl="0" w:tplc="332EF932">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9">
    <w:nsid w:val="62535E85"/>
    <w:multiLevelType w:val="hybridMultilevel"/>
    <w:tmpl w:val="831C3942"/>
    <w:lvl w:ilvl="0" w:tplc="FFFFFFFF">
      <w:start w:val="1"/>
      <w:numFmt w:val="decimal"/>
      <w:lvlText w:val="%1"/>
      <w:lvlJc w:val="left"/>
      <w:pPr>
        <w:tabs>
          <w:tab w:val="num" w:pos="432"/>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0">
    <w:nsid w:val="6A55172E"/>
    <w:multiLevelType w:val="multilevel"/>
    <w:tmpl w:val="C3CC12AE"/>
    <w:lvl w:ilvl="0">
      <w:start w:val="1"/>
      <w:numFmt w:val="none"/>
      <w:pStyle w:val="awTB01questionHead"/>
      <w:suff w:val="nothing"/>
      <w:lvlText w:val="%1"/>
      <w:lvlJc w:val="left"/>
      <w:pPr>
        <w:ind w:left="0" w:firstLine="0"/>
      </w:pPr>
      <w:rPr>
        <w:rFonts w:hint="default"/>
      </w:rPr>
    </w:lvl>
    <w:lvl w:ilvl="1">
      <w:start w:val="1"/>
      <w:numFmt w:val="decimal"/>
      <w:lvlText w:val="%2."/>
      <w:lvlJc w:val="left"/>
      <w:pPr>
        <w:tabs>
          <w:tab w:val="num" w:pos="547"/>
        </w:tabs>
        <w:ind w:left="547" w:hanging="547"/>
      </w:pPr>
      <w:rPr>
        <w:rFonts w:hint="default"/>
      </w:rPr>
    </w:lvl>
    <w:lvl w:ilvl="2">
      <w:start w:val="1"/>
      <w:numFmt w:val="lowerLetter"/>
      <w:lvlText w:val="(%3)"/>
      <w:lvlJc w:val="left"/>
      <w:pPr>
        <w:tabs>
          <w:tab w:val="num" w:pos="907"/>
        </w:tabs>
        <w:ind w:left="907" w:hanging="360"/>
      </w:pPr>
      <w:rPr>
        <w:rFonts w:hint="default"/>
      </w:rPr>
    </w:lvl>
    <w:lvl w:ilvl="3">
      <w:start w:val="1"/>
      <w:numFmt w:val="none"/>
      <w:lvlText w:val="Answer:"/>
      <w:lvlJc w:val="left"/>
      <w:pPr>
        <w:tabs>
          <w:tab w:val="num" w:pos="1987"/>
        </w:tabs>
        <w:ind w:left="1411" w:hanging="864"/>
      </w:pPr>
      <w:rPr>
        <w:rFonts w:ascii="Helvetica" w:hAnsi="Helvetica" w:hint="default"/>
        <w:b w:val="0"/>
        <w:i w:val="0"/>
        <w:caps w:val="0"/>
        <w:smallCaps w:val="0"/>
        <w:strike w:val="0"/>
        <w:dstrike w:val="0"/>
        <w:outline w:val="0"/>
        <w:shadow w:val="0"/>
        <w:emboss w:val="0"/>
        <w:imprint w:val="0"/>
        <w:snapToGrid w:val="0"/>
        <w:vanish w:val="0"/>
        <w:spacing w:val="0"/>
        <w:kern w:val="0"/>
        <w:position w:val="0"/>
        <w:u w:val="none"/>
        <w:vertAlign w:val="baseline"/>
        <w:em w:val="none"/>
      </w:rPr>
    </w:lvl>
    <w:lvl w:ilvl="4">
      <w:start w:val="1"/>
      <w:numFmt w:val="none"/>
      <w:lvlText w:val="(%5)"/>
      <w:lvlJc w:val="left"/>
      <w:pPr>
        <w:tabs>
          <w:tab w:val="num" w:pos="2160"/>
        </w:tabs>
        <w:ind w:left="2160" w:hanging="360"/>
      </w:pPr>
      <w:rPr>
        <w:rFonts w:hint="default"/>
      </w:rPr>
    </w:lvl>
    <w:lvl w:ilvl="5">
      <w:start w:val="1"/>
      <w:numFmt w:val="none"/>
      <w:lvlText w:val="(%6)"/>
      <w:lvlJc w:val="left"/>
      <w:pPr>
        <w:tabs>
          <w:tab w:val="num" w:pos="2520"/>
        </w:tabs>
        <w:ind w:left="2520" w:hanging="360"/>
      </w:pPr>
      <w:rPr>
        <w:rFonts w:hint="default"/>
      </w:rPr>
    </w:lvl>
    <w:lvl w:ilvl="6">
      <w:start w:val="1"/>
      <w:numFmt w:val="none"/>
      <w:lvlText w:val="%7."/>
      <w:lvlJc w:val="left"/>
      <w:pPr>
        <w:tabs>
          <w:tab w:val="num" w:pos="2880"/>
        </w:tabs>
        <w:ind w:left="2880" w:hanging="360"/>
      </w:pPr>
      <w:rPr>
        <w:rFonts w:hint="default"/>
      </w:rPr>
    </w:lvl>
    <w:lvl w:ilvl="7">
      <w:start w:val="1"/>
      <w:numFmt w:val="none"/>
      <w:lvlText w:val="%8."/>
      <w:lvlJc w:val="left"/>
      <w:pPr>
        <w:tabs>
          <w:tab w:val="num" w:pos="3240"/>
        </w:tabs>
        <w:ind w:left="3240" w:hanging="360"/>
      </w:pPr>
      <w:rPr>
        <w:rFonts w:hint="default"/>
      </w:rPr>
    </w:lvl>
    <w:lvl w:ilvl="8">
      <w:start w:val="1"/>
      <w:numFmt w:val="none"/>
      <w:lvlText w:val="%9."/>
      <w:lvlJc w:val="left"/>
      <w:pPr>
        <w:tabs>
          <w:tab w:val="num" w:pos="3600"/>
        </w:tabs>
        <w:ind w:left="3600" w:hanging="360"/>
      </w:pPr>
      <w:rPr>
        <w:rFonts w:hint="default"/>
      </w:rPr>
    </w:lvl>
  </w:abstractNum>
  <w:abstractNum w:abstractNumId="31">
    <w:nsid w:val="6BE177A6"/>
    <w:multiLevelType w:val="hybridMultilevel"/>
    <w:tmpl w:val="09486EC4"/>
    <w:lvl w:ilvl="0" w:tplc="2B420C8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6C1656D7"/>
    <w:multiLevelType w:val="hybridMultilevel"/>
    <w:tmpl w:val="1CEE2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0803C3A"/>
    <w:multiLevelType w:val="multilevel"/>
    <w:tmpl w:val="FD7066B6"/>
    <w:lvl w:ilvl="0">
      <w:start w:val="1"/>
      <w:numFmt w:val="decimal"/>
      <w:lvlText w:val="%1."/>
      <w:lvlJc w:val="left"/>
      <w:pPr>
        <w:tabs>
          <w:tab w:val="num" w:pos="360"/>
        </w:tabs>
        <w:ind w:left="0" w:firstLine="0"/>
      </w:pPr>
      <w:rPr>
        <w:rFonts w:hint="default"/>
      </w:rPr>
    </w:lvl>
    <w:lvl w:ilvl="1">
      <w:start w:val="1"/>
      <w:numFmt w:val="lowerLetter"/>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4">
    <w:nsid w:val="74E07E1C"/>
    <w:multiLevelType w:val="hybridMultilevel"/>
    <w:tmpl w:val="80B4043E"/>
    <w:lvl w:ilvl="0" w:tplc="04090017">
      <w:start w:val="1"/>
      <w:numFmt w:val="lowerLetter"/>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5">
    <w:nsid w:val="77A830F6"/>
    <w:multiLevelType w:val="hybridMultilevel"/>
    <w:tmpl w:val="3892B92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
    <w:nsid w:val="79A45B1D"/>
    <w:multiLevelType w:val="hybridMultilevel"/>
    <w:tmpl w:val="7326DE72"/>
    <w:lvl w:ilvl="0" w:tplc="04090017">
      <w:start w:val="1"/>
      <w:numFmt w:val="lowerLetter"/>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7">
    <w:nsid w:val="7FAA6F21"/>
    <w:multiLevelType w:val="hybridMultilevel"/>
    <w:tmpl w:val="4B0C89AA"/>
    <w:lvl w:ilvl="0" w:tplc="04090017">
      <w:start w:val="1"/>
      <w:numFmt w:val="lowerLetter"/>
      <w:lvlText w:val="%1)"/>
      <w:lvlJc w:val="left"/>
      <w:pPr>
        <w:ind w:left="1440" w:hanging="360"/>
      </w:pPr>
      <w:rPr>
        <w:rFonts w:cs="Times New Roman"/>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num w:numId="1">
    <w:abstractNumId w:val="25"/>
  </w:num>
  <w:num w:numId="2">
    <w:abstractNumId w:val="31"/>
  </w:num>
  <w:num w:numId="3">
    <w:abstractNumId w:val="16"/>
  </w:num>
  <w:num w:numId="4">
    <w:abstractNumId w:val="14"/>
  </w:num>
  <w:num w:numId="5">
    <w:abstractNumId w:val="30"/>
  </w:num>
  <w:num w:numId="6">
    <w:abstractNumId w:val="30"/>
  </w:num>
  <w:num w:numId="7">
    <w:abstractNumId w:val="30"/>
  </w:num>
  <w:num w:numId="8">
    <w:abstractNumId w:val="29"/>
  </w:num>
  <w:num w:numId="9">
    <w:abstractNumId w:val="10"/>
  </w:num>
  <w:num w:numId="10">
    <w:abstractNumId w:val="10"/>
  </w:num>
  <w:num w:numId="11">
    <w:abstractNumId w:val="33"/>
  </w:num>
  <w:num w:numId="12">
    <w:abstractNumId w:val="33"/>
  </w:num>
  <w:num w:numId="1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num>
  <w:num w:numId="19">
    <w:abstractNumId w:val="18"/>
  </w:num>
  <w:num w:numId="20">
    <w:abstractNumId w:val="37"/>
  </w:num>
  <w:num w:numId="21">
    <w:abstractNumId w:val="11"/>
  </w:num>
  <w:num w:numId="22">
    <w:abstractNumId w:val="27"/>
  </w:num>
  <w:num w:numId="23">
    <w:abstractNumId w:val="21"/>
  </w:num>
  <w:num w:numId="24">
    <w:abstractNumId w:val="35"/>
  </w:num>
  <w:num w:numId="25">
    <w:abstractNumId w:val="19"/>
  </w:num>
  <w:num w:numId="26">
    <w:abstractNumId w:val="34"/>
  </w:num>
  <w:num w:numId="27">
    <w:abstractNumId w:val="17"/>
  </w:num>
  <w:num w:numId="28">
    <w:abstractNumId w:val="36"/>
  </w:num>
  <w:num w:numId="29">
    <w:abstractNumId w:val="24"/>
  </w:num>
  <w:num w:numId="30">
    <w:abstractNumId w:val="32"/>
  </w:num>
  <w:num w:numId="31">
    <w:abstractNumId w:val="12"/>
  </w:num>
  <w:num w:numId="32">
    <w:abstractNumId w:val="13"/>
  </w:num>
  <w:num w:numId="33">
    <w:abstractNumId w:val="15"/>
  </w:num>
  <w:num w:numId="34">
    <w:abstractNumId w:val="22"/>
  </w:num>
  <w:num w:numId="35">
    <w:abstractNumId w:val="8"/>
  </w:num>
  <w:num w:numId="36">
    <w:abstractNumId w:val="7"/>
  </w:num>
  <w:num w:numId="37">
    <w:abstractNumId w:val="6"/>
  </w:num>
  <w:num w:numId="38">
    <w:abstractNumId w:val="5"/>
  </w:num>
  <w:num w:numId="39">
    <w:abstractNumId w:val="9"/>
  </w:num>
  <w:num w:numId="40">
    <w:abstractNumId w:val="4"/>
  </w:num>
  <w:num w:numId="41">
    <w:abstractNumId w:val="3"/>
  </w:num>
  <w:num w:numId="42">
    <w:abstractNumId w:val="2"/>
  </w:num>
  <w:num w:numId="4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124"/>
  <w:mirrorMargins/>
  <w:proofState w:spelling="clean" w:grammar="clean"/>
  <w:attachedTemplate r:id="rId1"/>
  <w:linkStyles/>
  <w:stylePaneFormatFilter w:val="1021"/>
  <w:doNotTrackMoves/>
  <w:doNotTrackFormatting/>
  <w:defaultTabStop w:val="720"/>
  <w:evenAndOddHeaders/>
  <w:drawingGridHorizontalSpacing w:val="100"/>
  <w:displayHorizontalDrawingGridEvery w:val="2"/>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45019B"/>
    <w:rsid w:val="00003F80"/>
    <w:rsid w:val="0000583D"/>
    <w:rsid w:val="00024C47"/>
    <w:rsid w:val="00040950"/>
    <w:rsid w:val="00087238"/>
    <w:rsid w:val="000B6786"/>
    <w:rsid w:val="000D407D"/>
    <w:rsid w:val="00126228"/>
    <w:rsid w:val="00171EF8"/>
    <w:rsid w:val="00186514"/>
    <w:rsid w:val="001B0B7C"/>
    <w:rsid w:val="001C04BF"/>
    <w:rsid w:val="002628C5"/>
    <w:rsid w:val="00262A00"/>
    <w:rsid w:val="002F4341"/>
    <w:rsid w:val="002F51B4"/>
    <w:rsid w:val="0037006C"/>
    <w:rsid w:val="003C2717"/>
    <w:rsid w:val="003D7A6F"/>
    <w:rsid w:val="0040004F"/>
    <w:rsid w:val="0045019B"/>
    <w:rsid w:val="00462F75"/>
    <w:rsid w:val="00495E98"/>
    <w:rsid w:val="00497AE6"/>
    <w:rsid w:val="00532B8F"/>
    <w:rsid w:val="00570C47"/>
    <w:rsid w:val="005C193C"/>
    <w:rsid w:val="005D7331"/>
    <w:rsid w:val="00624E36"/>
    <w:rsid w:val="00676BC4"/>
    <w:rsid w:val="006B754F"/>
    <w:rsid w:val="00726BF4"/>
    <w:rsid w:val="007C6890"/>
    <w:rsid w:val="008018F4"/>
    <w:rsid w:val="008317F6"/>
    <w:rsid w:val="008F7643"/>
    <w:rsid w:val="00901C16"/>
    <w:rsid w:val="00935A68"/>
    <w:rsid w:val="00956986"/>
    <w:rsid w:val="00973D42"/>
    <w:rsid w:val="00995859"/>
    <w:rsid w:val="009B7C17"/>
    <w:rsid w:val="00A67235"/>
    <w:rsid w:val="00A7710A"/>
    <w:rsid w:val="00A92AEF"/>
    <w:rsid w:val="00B019DA"/>
    <w:rsid w:val="00B02A41"/>
    <w:rsid w:val="00B101E5"/>
    <w:rsid w:val="00B259D2"/>
    <w:rsid w:val="00B86A4D"/>
    <w:rsid w:val="00B92EB0"/>
    <w:rsid w:val="00BE6BE3"/>
    <w:rsid w:val="00C7778B"/>
    <w:rsid w:val="00CA338E"/>
    <w:rsid w:val="00D272CB"/>
    <w:rsid w:val="00D345C0"/>
    <w:rsid w:val="00D603CD"/>
    <w:rsid w:val="00DC4861"/>
    <w:rsid w:val="00E235C5"/>
    <w:rsid w:val="00E8445A"/>
    <w:rsid w:val="00EB1DA4"/>
    <w:rsid w:val="00ED03AA"/>
    <w:rsid w:val="00ED3EC9"/>
    <w:rsid w:val="00F101C9"/>
    <w:rsid w:val="00F53AB3"/>
    <w:rsid w:val="00FE0395"/>
    <w:rsid w:val="00FF0F4F"/>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72CB"/>
  </w:style>
  <w:style w:type="paragraph" w:styleId="Heading1">
    <w:name w:val="heading 1"/>
    <w:basedOn w:val="Normal"/>
    <w:next w:val="Normal"/>
    <w:qFormat/>
    <w:rsid w:val="00D272CB"/>
    <w:pPr>
      <w:keepNext/>
      <w:jc w:val="center"/>
      <w:outlineLvl w:val="0"/>
    </w:pPr>
  </w:style>
  <w:style w:type="paragraph" w:styleId="Heading2">
    <w:name w:val="heading 2"/>
    <w:basedOn w:val="Normal"/>
    <w:next w:val="Normal"/>
    <w:qFormat/>
    <w:rsid w:val="00D272CB"/>
    <w:pPr>
      <w:keepNext/>
      <w:outlineLvl w:val="1"/>
    </w:pPr>
    <w:rPr>
      <w:b/>
      <w:u w:val="single"/>
    </w:rPr>
  </w:style>
  <w:style w:type="paragraph" w:styleId="Heading3">
    <w:name w:val="heading 3"/>
    <w:basedOn w:val="Normal"/>
    <w:next w:val="Normal"/>
    <w:qFormat/>
    <w:rsid w:val="00D272CB"/>
    <w:pPr>
      <w:keepNext/>
      <w:outlineLvl w:val="2"/>
    </w:pPr>
  </w:style>
  <w:style w:type="paragraph" w:styleId="Heading4">
    <w:name w:val="heading 4"/>
    <w:basedOn w:val="Normal"/>
    <w:next w:val="Normal"/>
    <w:qFormat/>
    <w:rsid w:val="00D272CB"/>
    <w:pPr>
      <w:keepNext/>
      <w:tabs>
        <w:tab w:val="left" w:pos="720"/>
      </w:tabs>
      <w:spacing w:line="-240" w:lineRule="auto"/>
      <w:outlineLvl w:val="3"/>
    </w:pPr>
    <w:rPr>
      <w:b/>
    </w:rPr>
  </w:style>
  <w:style w:type="paragraph" w:styleId="Heading5">
    <w:name w:val="heading 5"/>
    <w:basedOn w:val="Normal"/>
    <w:next w:val="Normal"/>
    <w:qFormat/>
    <w:rsid w:val="00D272CB"/>
    <w:pPr>
      <w:spacing w:before="240" w:after="60"/>
      <w:outlineLvl w:val="4"/>
    </w:pPr>
    <w:rPr>
      <w:sz w:val="22"/>
    </w:rPr>
  </w:style>
  <w:style w:type="paragraph" w:styleId="Heading6">
    <w:name w:val="heading 6"/>
    <w:basedOn w:val="Normal"/>
    <w:next w:val="Normal"/>
    <w:qFormat/>
    <w:rsid w:val="00D272CB"/>
    <w:pPr>
      <w:spacing w:before="240" w:after="60"/>
      <w:outlineLvl w:val="5"/>
    </w:pPr>
    <w:rPr>
      <w:i/>
      <w:sz w:val="22"/>
    </w:rPr>
  </w:style>
  <w:style w:type="paragraph" w:styleId="Heading7">
    <w:name w:val="heading 7"/>
    <w:basedOn w:val="Normal"/>
    <w:next w:val="Normal"/>
    <w:qFormat/>
    <w:rsid w:val="00D272CB"/>
    <w:pPr>
      <w:spacing w:before="240" w:after="60"/>
      <w:outlineLvl w:val="6"/>
    </w:pPr>
    <w:rPr>
      <w:rFonts w:ascii="Arial" w:hAnsi="Arial"/>
    </w:rPr>
  </w:style>
  <w:style w:type="paragraph" w:styleId="Heading8">
    <w:name w:val="heading 8"/>
    <w:basedOn w:val="Normal"/>
    <w:next w:val="Normal"/>
    <w:qFormat/>
    <w:rsid w:val="00D272CB"/>
    <w:pPr>
      <w:spacing w:before="240" w:after="60"/>
      <w:outlineLvl w:val="7"/>
    </w:pPr>
    <w:rPr>
      <w:rFonts w:ascii="Arial" w:hAnsi="Arial"/>
      <w:i/>
    </w:rPr>
  </w:style>
  <w:style w:type="paragraph" w:styleId="Heading9">
    <w:name w:val="heading 9"/>
    <w:basedOn w:val="Normal"/>
    <w:next w:val="Normal"/>
    <w:qFormat/>
    <w:rsid w:val="00D272CB"/>
    <w:pPr>
      <w:spacing w:before="240" w:after="60"/>
      <w:outlineLvl w:val="8"/>
    </w:pPr>
    <w:rPr>
      <w:rFonts w:ascii="Arial" w:hAnsi="Arial"/>
      <w:b/>
      <w:i/>
      <w:sz w:val="18"/>
    </w:rPr>
  </w:style>
  <w:style w:type="character" w:default="1" w:styleId="DefaultParagraphFont">
    <w:name w:val="Default Paragraph Font"/>
    <w:uiPriority w:val="1"/>
    <w:semiHidden/>
    <w:unhideWhenUsed/>
    <w:rsid w:val="00D272CB"/>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D272CB"/>
  </w:style>
  <w:style w:type="character" w:styleId="Hyperlink">
    <w:name w:val="Hyperlink"/>
    <w:semiHidden/>
    <w:rsid w:val="00FF0F4F"/>
    <w:rPr>
      <w:color w:val="0000FF"/>
      <w:u w:val="single"/>
    </w:rPr>
  </w:style>
  <w:style w:type="paragraph" w:customStyle="1" w:styleId="ColorfulList-Accent11">
    <w:name w:val="Colorful List - Accent 11"/>
    <w:basedOn w:val="Normal"/>
    <w:uiPriority w:val="34"/>
    <w:qFormat/>
    <w:rsid w:val="00FF0F4F"/>
    <w:pPr>
      <w:autoSpaceDE w:val="0"/>
      <w:autoSpaceDN w:val="0"/>
      <w:adjustRightInd w:val="0"/>
      <w:ind w:left="720"/>
    </w:pPr>
  </w:style>
  <w:style w:type="paragraph" w:customStyle="1" w:styleId="MCQList1">
    <w:name w:val="MCQ_List1"/>
    <w:basedOn w:val="Normal"/>
    <w:rsid w:val="00D272CB"/>
    <w:pPr>
      <w:tabs>
        <w:tab w:val="right" w:pos="274"/>
        <w:tab w:val="left" w:pos="446"/>
      </w:tabs>
      <w:spacing w:before="200" w:after="60"/>
      <w:ind w:left="446" w:hanging="446"/>
      <w:outlineLvl w:val="2"/>
    </w:pPr>
    <w:rPr>
      <w:rFonts w:ascii="Times" w:hAnsi="Times"/>
      <w:snapToGrid w:val="0"/>
      <w:sz w:val="22"/>
    </w:rPr>
  </w:style>
  <w:style w:type="paragraph" w:styleId="BalloonText">
    <w:name w:val="Balloon Text"/>
    <w:basedOn w:val="Normal"/>
    <w:link w:val="BalloonTextChar"/>
    <w:uiPriority w:val="99"/>
    <w:semiHidden/>
    <w:unhideWhenUsed/>
    <w:rsid w:val="00570C47"/>
    <w:rPr>
      <w:rFonts w:ascii="Tahoma" w:hAnsi="Tahoma" w:cs="Tahoma"/>
      <w:sz w:val="16"/>
      <w:szCs w:val="16"/>
    </w:rPr>
  </w:style>
  <w:style w:type="character" w:customStyle="1" w:styleId="BalloonTextChar">
    <w:name w:val="Balloon Text Char"/>
    <w:basedOn w:val="DefaultParagraphFont"/>
    <w:link w:val="BalloonText"/>
    <w:uiPriority w:val="99"/>
    <w:semiHidden/>
    <w:rsid w:val="00570C47"/>
    <w:rPr>
      <w:rFonts w:ascii="Tahoma" w:hAnsi="Tahoma" w:cs="Tahoma"/>
      <w:sz w:val="16"/>
      <w:szCs w:val="16"/>
    </w:rPr>
  </w:style>
  <w:style w:type="paragraph" w:customStyle="1" w:styleId="awTB00chTitle">
    <w:name w:val="awTB_00_chTitle"/>
    <w:basedOn w:val="Normal"/>
    <w:next w:val="Normal"/>
    <w:rsid w:val="00D272CB"/>
    <w:pPr>
      <w:keepLines/>
      <w:spacing w:before="1440" w:after="720"/>
      <w:outlineLvl w:val="0"/>
    </w:pPr>
    <w:rPr>
      <w:rFonts w:ascii="Times" w:hAnsi="Times"/>
      <w:b/>
      <w:sz w:val="36"/>
    </w:rPr>
  </w:style>
  <w:style w:type="paragraph" w:customStyle="1" w:styleId="awTB01questionHead">
    <w:name w:val="awTB_01_questionHead"/>
    <w:basedOn w:val="Normal"/>
    <w:rsid w:val="00D272CB"/>
    <w:pPr>
      <w:keepNext/>
      <w:keepLines/>
      <w:numPr>
        <w:numId w:val="5"/>
      </w:numPr>
      <w:spacing w:before="360" w:after="200"/>
      <w:outlineLvl w:val="1"/>
    </w:pPr>
    <w:rPr>
      <w:rFonts w:ascii="Helvetica" w:hAnsi="Helvetica"/>
      <w:b/>
      <w:sz w:val="28"/>
    </w:rPr>
  </w:style>
  <w:style w:type="paragraph" w:customStyle="1" w:styleId="awTBfig">
    <w:name w:val="awTB_fig"/>
    <w:basedOn w:val="Normal"/>
    <w:next w:val="Normal"/>
    <w:rsid w:val="00D272CB"/>
    <w:pPr>
      <w:spacing w:before="200" w:after="40"/>
      <w:ind w:left="389"/>
      <w:outlineLvl w:val="1"/>
    </w:pPr>
    <w:rPr>
      <w:rFonts w:ascii="Times" w:hAnsi="Times"/>
      <w:snapToGrid w:val="0"/>
      <w:sz w:val="22"/>
    </w:rPr>
  </w:style>
  <w:style w:type="paragraph" w:customStyle="1" w:styleId="CO">
    <w:name w:val="CO"/>
    <w:basedOn w:val="MCQList1"/>
    <w:rsid w:val="00FF0F4F"/>
    <w:pPr>
      <w:tabs>
        <w:tab w:val="clear" w:pos="274"/>
        <w:tab w:val="clear" w:pos="446"/>
      </w:tabs>
      <w:spacing w:before="120" w:after="0"/>
    </w:pPr>
    <w:rPr>
      <w:b/>
      <w:bCs/>
    </w:rPr>
  </w:style>
  <w:style w:type="paragraph" w:customStyle="1" w:styleId="CO1">
    <w:name w:val="CO1"/>
    <w:basedOn w:val="MCQList1"/>
    <w:rsid w:val="00D272CB"/>
    <w:pPr>
      <w:tabs>
        <w:tab w:val="clear" w:pos="274"/>
        <w:tab w:val="clear" w:pos="446"/>
      </w:tabs>
      <w:spacing w:before="0"/>
      <w:ind w:left="576" w:hanging="576"/>
    </w:pPr>
    <w:rPr>
      <w:b/>
      <w:bCs/>
    </w:rPr>
  </w:style>
  <w:style w:type="paragraph" w:customStyle="1" w:styleId="MCQList2">
    <w:name w:val="MCQ_List2"/>
    <w:basedOn w:val="Normal"/>
    <w:rsid w:val="00D272CB"/>
    <w:pPr>
      <w:spacing w:after="40"/>
      <w:ind w:left="820" w:hanging="374"/>
      <w:outlineLvl w:val="2"/>
    </w:pPr>
    <w:rPr>
      <w:rFonts w:ascii="Times" w:hAnsi="Times"/>
      <w:snapToGrid w:val="0"/>
      <w:sz w:val="22"/>
    </w:rPr>
  </w:style>
  <w:style w:type="paragraph" w:customStyle="1" w:styleId="CO2">
    <w:name w:val="CO2"/>
    <w:basedOn w:val="MCQList2"/>
    <w:rsid w:val="00D272CB"/>
    <w:pPr>
      <w:ind w:left="378" w:firstLine="0"/>
    </w:pPr>
  </w:style>
  <w:style w:type="paragraph" w:customStyle="1" w:styleId="T1">
    <w:name w:val="T1"/>
    <w:basedOn w:val="Normal"/>
    <w:rsid w:val="00D272CB"/>
    <w:pPr>
      <w:keepNext/>
    </w:pPr>
    <w:rPr>
      <w:rFonts w:ascii="Times" w:hAnsi="Times"/>
      <w:sz w:val="22"/>
    </w:rPr>
  </w:style>
  <w:style w:type="paragraph" w:customStyle="1" w:styleId="H2">
    <w:name w:val="H2"/>
    <w:basedOn w:val="Heading3"/>
    <w:rsid w:val="00D272CB"/>
    <w:pPr>
      <w:spacing w:before="240" w:after="100"/>
      <w:ind w:right="504"/>
      <w:outlineLvl w:val="0"/>
    </w:pPr>
    <w:rPr>
      <w:rFonts w:ascii="Helvetica" w:hAnsi="Helvetica"/>
      <w:b/>
      <w:bCs/>
      <w:sz w:val="24"/>
      <w:szCs w:val="22"/>
    </w:rPr>
  </w:style>
  <w:style w:type="paragraph" w:customStyle="1" w:styleId="MCQList1sub">
    <w:name w:val="MCQ_List1_sub"/>
    <w:basedOn w:val="MCQList1"/>
    <w:rsid w:val="00D272CB"/>
    <w:pPr>
      <w:tabs>
        <w:tab w:val="left" w:pos="825"/>
      </w:tabs>
      <w:ind w:left="821" w:hanging="821"/>
    </w:pPr>
  </w:style>
  <w:style w:type="paragraph" w:customStyle="1" w:styleId="T2">
    <w:name w:val="T2"/>
    <w:basedOn w:val="T1"/>
    <w:rsid w:val="00D272CB"/>
    <w:pPr>
      <w:keepNext w:val="0"/>
      <w:spacing w:before="200"/>
    </w:pPr>
  </w:style>
  <w:style w:type="character" w:styleId="CommentReference">
    <w:name w:val="annotation reference"/>
    <w:uiPriority w:val="99"/>
    <w:semiHidden/>
    <w:unhideWhenUsed/>
    <w:rsid w:val="008317F6"/>
    <w:rPr>
      <w:sz w:val="16"/>
      <w:szCs w:val="16"/>
    </w:rPr>
  </w:style>
  <w:style w:type="paragraph" w:styleId="Header">
    <w:name w:val="header"/>
    <w:basedOn w:val="Normal"/>
    <w:link w:val="HeaderChar"/>
    <w:uiPriority w:val="99"/>
    <w:semiHidden/>
    <w:unhideWhenUsed/>
    <w:rsid w:val="00D272CB"/>
    <w:pPr>
      <w:tabs>
        <w:tab w:val="center" w:pos="4680"/>
        <w:tab w:val="right" w:pos="9360"/>
      </w:tabs>
    </w:pPr>
  </w:style>
  <w:style w:type="character" w:customStyle="1" w:styleId="HeaderChar">
    <w:name w:val="Header Char"/>
    <w:basedOn w:val="DefaultParagraphFont"/>
    <w:link w:val="Header"/>
    <w:uiPriority w:val="99"/>
    <w:semiHidden/>
    <w:rsid w:val="00D272CB"/>
  </w:style>
  <w:style w:type="paragraph" w:customStyle="1" w:styleId="Figure">
    <w:name w:val="Figure"/>
    <w:basedOn w:val="Normal"/>
    <w:qFormat/>
    <w:rsid w:val="00D272CB"/>
    <w:pPr>
      <w:spacing w:before="120" w:after="120"/>
      <w:ind w:left="360"/>
      <w:jc w:val="center"/>
    </w:pPr>
    <w:rPr>
      <w:noProof/>
    </w:rPr>
  </w:style>
  <w:style w:type="paragraph" w:customStyle="1" w:styleId="equation">
    <w:name w:val="equation"/>
    <w:basedOn w:val="Normal"/>
    <w:rsid w:val="00D272CB"/>
    <w:pPr>
      <w:tabs>
        <w:tab w:val="left" w:pos="3600"/>
        <w:tab w:val="left" w:pos="9000"/>
      </w:tabs>
      <w:spacing w:before="120" w:after="120"/>
      <w:jc w:val="center"/>
    </w:pPr>
    <w:rPr>
      <w:rFonts w:ascii="Times" w:hAnsi="Times"/>
      <w:i/>
      <w:sz w:val="22"/>
      <w:szCs w:val="22"/>
    </w:rPr>
  </w:style>
  <w:style w:type="paragraph" w:customStyle="1" w:styleId="H3">
    <w:name w:val="H3"/>
    <w:basedOn w:val="Normal"/>
    <w:qFormat/>
    <w:rsid w:val="00995859"/>
    <w:pPr>
      <w:keepNext/>
      <w:spacing w:before="120" w:after="100"/>
      <w:ind w:right="504"/>
      <w:outlineLvl w:val="0"/>
    </w:pPr>
    <w:rPr>
      <w:b/>
      <w:bCs/>
      <w:sz w:val="22"/>
      <w:szCs w:val="22"/>
    </w:rPr>
  </w:style>
  <w:style w:type="paragraph" w:styleId="CommentText">
    <w:name w:val="annotation text"/>
    <w:basedOn w:val="Normal"/>
    <w:link w:val="CommentTextChar"/>
    <w:uiPriority w:val="99"/>
    <w:semiHidden/>
    <w:unhideWhenUsed/>
    <w:rsid w:val="00F101C9"/>
  </w:style>
  <w:style w:type="character" w:customStyle="1" w:styleId="CommentTextChar">
    <w:name w:val="Comment Text Char"/>
    <w:basedOn w:val="DefaultParagraphFont"/>
    <w:link w:val="CommentText"/>
    <w:uiPriority w:val="99"/>
    <w:semiHidden/>
    <w:rsid w:val="00F101C9"/>
  </w:style>
  <w:style w:type="paragraph" w:styleId="CommentSubject">
    <w:name w:val="annotation subject"/>
    <w:basedOn w:val="CommentText"/>
    <w:next w:val="CommentText"/>
    <w:link w:val="CommentSubjectChar"/>
    <w:uiPriority w:val="99"/>
    <w:semiHidden/>
    <w:unhideWhenUsed/>
    <w:rsid w:val="00F101C9"/>
    <w:rPr>
      <w:b/>
      <w:bCs/>
    </w:rPr>
  </w:style>
  <w:style w:type="character" w:customStyle="1" w:styleId="CommentSubjectChar">
    <w:name w:val="Comment Subject Char"/>
    <w:basedOn w:val="CommentTextChar"/>
    <w:link w:val="CommentSubject"/>
    <w:uiPriority w:val="99"/>
    <w:semiHidden/>
    <w:rsid w:val="00F101C9"/>
    <w:rPr>
      <w:b/>
      <w:bCs/>
    </w:rPr>
  </w:style>
</w:styles>
</file>

<file path=word/webSettings.xml><?xml version="1.0" encoding="utf-8"?>
<w:webSettings xmlns:r="http://schemas.openxmlformats.org/officeDocument/2006/relationships" xmlns:w="http://schemas.openxmlformats.org/wordprocessingml/2006/main">
  <w:divs>
    <w:div w:id="4093081">
      <w:bodyDiv w:val="1"/>
      <w:marLeft w:val="0"/>
      <w:marRight w:val="0"/>
      <w:marTop w:val="0"/>
      <w:marBottom w:val="0"/>
      <w:divBdr>
        <w:top w:val="none" w:sz="0" w:space="0" w:color="auto"/>
        <w:left w:val="none" w:sz="0" w:space="0" w:color="auto"/>
        <w:bottom w:val="none" w:sz="0" w:space="0" w:color="auto"/>
        <w:right w:val="none" w:sz="0" w:space="0" w:color="auto"/>
      </w:divBdr>
    </w:div>
    <w:div w:id="1191188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png"/><Relationship Id="rId18" Type="http://schemas.openxmlformats.org/officeDocument/2006/relationships/image" Target="media/image7.wmf"/><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oleObject" Target="embeddings/oleObject5.bin"/><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footer" Target="footer2.xml"/><Relationship Id="rId10" Type="http://schemas.openxmlformats.org/officeDocument/2006/relationships/oleObject" Target="embeddings/oleObject2.bin"/><Relationship Id="rId19" Type="http://schemas.openxmlformats.org/officeDocument/2006/relationships/oleObject" Target="embeddings/oleObject6.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image" Target="media/image5.wmf"/><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Z:\Mishkin_Macro_IM\mishkin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mishkintemplate</Template>
  <TotalTime>43</TotalTime>
  <Pages>10</Pages>
  <Words>4843</Words>
  <Characters>26224</Characters>
  <Application>Microsoft Office Word</Application>
  <DocSecurity>0</DocSecurity>
  <Lines>218</Lines>
  <Paragraphs>62</Paragraphs>
  <ScaleCrop>false</ScaleCrop>
  <HeadingPairs>
    <vt:vector size="2" baseType="variant">
      <vt:variant>
        <vt:lpstr>Title</vt:lpstr>
      </vt:variant>
      <vt:variant>
        <vt:i4>1</vt:i4>
      </vt:variant>
    </vt:vector>
  </HeadingPairs>
  <TitlesOfParts>
    <vt:vector size="1" baseType="lpstr">
      <vt:lpstr>Chapter : Chapter Title</vt:lpstr>
    </vt:vector>
  </TitlesOfParts>
  <Company>University of Missouri</Company>
  <LinksUpToDate>false</LinksUpToDate>
  <CharactersWithSpaces>31005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 Chapter Title</dc:title>
  <dc:subject/>
  <dc:creator>Martin Pereyra</dc:creator>
  <cp:keywords/>
  <cp:lastModifiedBy>Sheryl Nelson</cp:lastModifiedBy>
  <cp:revision>14</cp:revision>
  <cp:lastPrinted>2013-12-18T18:43:00Z</cp:lastPrinted>
  <dcterms:created xsi:type="dcterms:W3CDTF">2013-12-18T18:06:00Z</dcterms:created>
  <dcterms:modified xsi:type="dcterms:W3CDTF">2014-01-06T20:28:00Z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