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where we discuss the second issue, which was insufficiently highlighted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“[more] explicitly discuss this so as to help readers better appreciate [our] study” </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 xml:space="preserve">-Added Concrete vs. Abstract section to the discussion where we connect back to Belenky &amp; Schalk (2014) and the concreteness fading literature, and highlight the importance of our contribution. </w:t>
      </w:r>
    </w:p>
    <w:p>
      <w:pPr>
        <w:pStyle w:val="Normal"/>
        <w:widowControl/>
        <w:ind w:left="0" w:right="0" w:hanging="0"/>
        <w:rPr/>
      </w:pPr>
      <w:r>
        <w:rPr>
          <w:color w:val="0000FF"/>
          <w:sz w:val="24"/>
          <w:szCs w:val="24"/>
        </w:rPr>
        <w:t>-added reference to concepts literature in formalization section</w:t>
      </w:r>
    </w:p>
    <w:p>
      <w:pPr>
        <w:pStyle w:val="Normal"/>
        <w:widowControl/>
        <w:ind w:left="0" w:right="0" w:hanging="0"/>
        <w:rPr/>
      </w:pPr>
      <w:r>
        <w:rPr>
          <w:color w:val="0000FF"/>
          <w:sz w:val="24"/>
          <w:szCs w:val="24"/>
        </w:rPr>
        <w:t>-added reference to complexity of understanding literature in Polygon vs. Modular Presentations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think this is an important point, which we tried to convey in our discussion section on formalization and generalization. We have expanded our comments on this (including references back to Richland (2012), Hazzan (1999), Greeno &amp; Riley (1987) and Burger &amp; Shaughnessy (1986))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rFonts w:ascii="Liberation Serif" w:hAnsi="Liberation Serif"/>
          <w:color w:val="0000FF"/>
          <w:sz w:val="24"/>
          <w:szCs w:val="24"/>
        </w:rPr>
      </w:pPr>
      <w:r>
        <w:rPr>
          <w:color w:val="0000FF"/>
          <w:sz w:val="24"/>
          <w:szCs w:val="24"/>
        </w:rPr>
        <w:t>-We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p>
    <w:p>
      <w:pPr>
        <w:pStyle w:val="Normal"/>
        <w:widowControl/>
        <w:ind w:left="0" w:right="0" w:hanging="0"/>
        <w:rPr>
          <w:b w:val="false"/>
          <w:b w:val="false"/>
          <w:i w:val="false"/>
          <w:i w:val="false"/>
          <w:caps w:val="false"/>
          <w:smallCaps w:val="false"/>
          <w:color w:val="0000FF"/>
          <w:spacing w:val="0"/>
          <w:sz w:val="24"/>
          <w:szCs w:val="24"/>
        </w:rPr>
      </w:pPr>
      <w:r>
        <w:rPr/>
      </w:r>
    </w:p>
    <w:p>
      <w:pPr>
        <w:pStyle w:val="Normal"/>
        <w:widowControl/>
        <w:ind w:left="0" w:right="0" w:hanging="0"/>
        <w:rPr/>
      </w:pPr>
      <w:r>
        <w:rPr>
          <w:b w:val="false"/>
          <w:i w:val="false"/>
          <w:caps w:val="false"/>
          <w:smallCaps w:val="false"/>
          <w:color w:val="0000FF"/>
          <w:spacing w:val="0"/>
          <w:sz w:val="24"/>
          <w:szCs w:val="24"/>
        </w:rPr>
        <w:t>-Added more literature on Abstract vs. Concrete, including Belenky &amp; Schalk’s review, some of the concreteness fading literatures (Goldstone &amp; Son, 2005; Fyfe et al., 2014).</w:t>
      </w:r>
    </w:p>
    <w:p>
      <w:pPr>
        <w:pStyle w:val="Normal"/>
        <w:widowControl/>
        <w:ind w:left="0" w:right="0" w:hanging="0"/>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ind w:left="0" w:right="0" w:hanging="0"/>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We have added a Limitations &amp; Future Directions section to the end of the discussion to address these points.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LibreOffice/5.1.6.2$Linux_X86_64 LibreOffice_project/10m0$Build-2</Application>
  <Pages>8</Pages>
  <Words>3857</Words>
  <Characters>21106</Characters>
  <CharactersWithSpaces>24964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2017-04-10T21:15:03Z</dcterms:modified>
  <cp:revision>39</cp:revision>
  <dc:subject/>
  <dc:title/>
</cp:coreProperties>
</file>