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b w:val="false"/>
          <w:i w:val="false"/>
          <w:caps w:val="false"/>
          <w:smallCaps w:val="false"/>
          <w:color w:val="0000FF"/>
          <w:spacing w:val="0"/>
          <w:sz w:val="24"/>
          <w:szCs w:val="24"/>
        </w:rPr>
        <w:t xml:space="preserve">We thank the reviewers for their insightful comments on our work, and especially for the helpful references, </w:t>
      </w:r>
      <w:r>
        <w:rPr>
          <w:b w:val="false"/>
          <w:i w:val="false"/>
          <w:caps w:val="false"/>
          <w:smallCaps w:val="false"/>
          <w:color w:val="0000FF"/>
          <w:spacing w:val="0"/>
          <w:sz w:val="24"/>
          <w:szCs w:val="24"/>
        </w:rPr>
        <w:t>which we have read with interest,</w:t>
      </w:r>
      <w:r>
        <w:rPr>
          <w:b w:val="false"/>
          <w:i w:val="false"/>
          <w:caps w:val="false"/>
          <w:smallCaps w:val="false"/>
          <w:color w:val="0000FF"/>
          <w:spacing w:val="0"/>
          <w:sz w:val="24"/>
          <w:szCs w:val="24"/>
        </w:rPr>
        <w:t xml:space="preserve"> and which we believe have strengthened our understanding and presentation of our work. We have responded below to the individual comments.</w:t>
      </w:r>
    </w:p>
    <w:p>
      <w:pPr>
        <w:pStyle w:val="Normal"/>
        <w:widowControl/>
        <w:ind w:left="0" w:right="0" w:hanging="0"/>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bookmarkStart w:id="0" w:name="__DdeLink__246_1669124804"/>
      <w:r>
        <w:rPr>
          <w:b w:val="false"/>
          <w:i w:val="false"/>
          <w:caps w:val="false"/>
          <w:smallCaps w:val="false"/>
          <w:color w:val="0000FF"/>
          <w:spacing w:val="0"/>
          <w:sz w:val="24"/>
          <w:szCs w:val="24"/>
        </w:rPr>
        <w:t xml:space="preserve">We have added a paragraph at the beginning of the paper </w:t>
      </w:r>
      <w:r>
        <w:rPr>
          <w:b w:val="false"/>
          <w:i w:val="false"/>
          <w:caps w:val="false"/>
          <w:smallCaps w:val="false"/>
          <w:color w:val="0000FF"/>
          <w:spacing w:val="0"/>
          <w:sz w:val="24"/>
          <w:szCs w:val="24"/>
        </w:rPr>
        <w:t>(p. 3)</w:t>
      </w:r>
      <w:r>
        <w:rPr>
          <w:b w:val="false"/>
          <w:i w:val="false"/>
          <w:caps w:val="false"/>
          <w:smallCaps w:val="false"/>
          <w:color w:val="0000FF"/>
          <w:spacing w:val="0"/>
          <w:sz w:val="24"/>
          <w:szCs w:val="24"/>
        </w:rPr>
        <w:t xml:space="preserv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bookmarkEnd w:id="0"/>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bookmarkStart w:id="1" w:name="__DdeLink__217_1894013427"/>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 xml:space="preserve">In order to make this more clear, we have substantially rewritten the introduction of the paper </w:t>
      </w:r>
      <w:r>
        <w:rPr>
          <w:color w:val="0000FF"/>
        </w:rPr>
        <w:t>(</w:t>
      </w:r>
      <w:r>
        <w:rPr>
          <w:b w:val="false"/>
          <w:i w:val="false"/>
          <w:caps w:val="false"/>
          <w:smallCaps w:val="false"/>
          <w:color w:val="0000FF"/>
          <w:spacing w:val="0"/>
          <w:sz w:val="24"/>
          <w:szCs w:val="24"/>
        </w:rPr>
        <w:t>pp. 3-13)</w:t>
      </w:r>
      <w:r>
        <w:rPr>
          <w:color w:val="0000FF"/>
        </w:rPr>
        <w:t xml:space="preserve"> to better highlight these issues and make the connection and contribution of our work to the previous literature more clear.</w:t>
      </w:r>
    </w:p>
    <w:p>
      <w:pPr>
        <w:pStyle w:val="Normal"/>
        <w:rPr>
          <w:color w:val="0000FF"/>
        </w:rPr>
      </w:pPr>
      <w:r>
        <w:rPr>
          <w:color w:val="0000FF"/>
        </w:rPr>
      </w:r>
    </w:p>
    <w:p>
      <w:pPr>
        <w:pStyle w:val="Normal"/>
        <w:rPr/>
      </w:pPr>
      <w:r>
        <w:rPr>
          <w:color w:val="0000FF"/>
        </w:rPr>
        <w:t xml:space="preserve">The second issue in particular was inadequately highlighted previously, so we have added new sections to the introduction and discussion </w:t>
      </w:r>
      <w:r>
        <w:rPr>
          <w:color w:val="0000FF"/>
        </w:rPr>
        <w:t>(pp. 7-8, 32-33)</w:t>
      </w:r>
      <w:r>
        <w:rPr>
          <w:color w:val="0000FF"/>
        </w:rPr>
        <w:t xml:space="preserve"> where we discuss it. </w:t>
      </w:r>
      <w:r>
        <w:rPr>
          <w:b w:val="false"/>
          <w:i w:val="false"/>
          <w:caps w:val="false"/>
          <w:smallCaps w:val="false"/>
          <w:color w:val="0000FF"/>
          <w:spacing w:val="0"/>
          <w:sz w:val="24"/>
          <w:szCs w:val="24"/>
        </w:rPr>
        <w:t xml:space="preserve">We hope to broaden the discussion in the field further beyond the simple “concrete vs. abstract’’ dimension, by illustrating that different presentations can relate a concept in different ways (in our case, visuospatially vs. connecting more directly to prior arithmetic concepts). These differences can accentuate or obscure different aspects of the concept in question. </w:t>
      </w:r>
      <w:bookmarkEnd w:id="1"/>
      <w:r>
        <w:rPr>
          <w:b w:val="false"/>
          <w:i w:val="false"/>
          <w:caps w:val="false"/>
          <w:smallCaps w:val="false"/>
          <w:color w:val="0000FF"/>
          <w:spacing w:val="0"/>
          <w:sz w:val="24"/>
          <w:szCs w:val="24"/>
        </w:rPr>
        <w:t>We suggest that rather than concrete vs. abstract, it is these connections that are the relevant feature for assessing presentations.</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pPr>
      <w:r>
        <w:rPr>
          <w:sz w:val="24"/>
          <w:szCs w:val="24"/>
        </w:rPr>
        <w:br/>
      </w:r>
    </w:p>
    <w:p>
      <w:pPr>
        <w:pStyle w:val="Normal"/>
        <w:widowControl/>
        <w:ind w:left="0" w:right="0" w:hanging="0"/>
        <w:rPr>
          <w:sz w:val="24"/>
          <w:szCs w:val="24"/>
        </w:rPr>
      </w:pP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 xml:space="preserve">These were helpful resources, we have added some reference to this literature both in the introduction </w:t>
      </w:r>
      <w:r>
        <w:rPr>
          <w:color w:val="0000FF"/>
          <w:sz w:val="24"/>
          <w:szCs w:val="24"/>
        </w:rPr>
        <w:t>(p. 4)</w:t>
      </w:r>
      <w:r>
        <w:rPr>
          <w:color w:val="0000FF"/>
          <w:sz w:val="24"/>
          <w:szCs w:val="24"/>
        </w:rPr>
        <w:t xml:space="preserve"> and in the Relationships Among Mathematical Concepts section </w:t>
      </w:r>
      <w:r>
        <w:rPr>
          <w:color w:val="0000FF"/>
          <w:sz w:val="24"/>
          <w:szCs w:val="24"/>
        </w:rPr>
        <w:t>(p. 5).</w:t>
      </w:r>
      <w:r>
        <w:rPr>
          <w:color w:val="0000FF"/>
          <w:sz w:val="24"/>
          <w:szCs w:val="24"/>
        </w:rPr>
        <w:t xml:space="preserve"> We think this nicely integrates with the results of Hazzan (1999) and DeBock et al. (2011) to provide clearer motivation for our study. </w:t>
      </w:r>
      <w:r>
        <w:rPr>
          <w:color w:val="0000FF"/>
          <w:sz w:val="24"/>
          <w:szCs w:val="24"/>
        </w:rPr>
        <w:t>We have also increased our discussion of the importance of relationships between concepts to understanding in the formalization section (pp. 33-34).</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 xml:space="preserve">We have added reference to this literature and some discussion to clarify our perspective on why these aspects are important, both in the </w:t>
      </w:r>
      <w:r>
        <w:rPr>
          <w:color w:val="0000FF"/>
          <w:sz w:val="24"/>
          <w:szCs w:val="24"/>
        </w:rPr>
        <w:t>“Relationships among mathematical concepts”</w:t>
      </w:r>
      <w:r>
        <w:rPr>
          <w:color w:val="0000FF"/>
          <w:sz w:val="24"/>
          <w:szCs w:val="24"/>
        </w:rPr>
        <w:t xml:space="preserve"> section </w:t>
      </w:r>
      <w:r>
        <w:rPr>
          <w:color w:val="0000FF"/>
          <w:sz w:val="24"/>
          <w:szCs w:val="24"/>
        </w:rPr>
        <w:t xml:space="preserve">(pp. 6-7), in the section where we introduce the criteria (pp. 11-12), </w:t>
      </w:r>
      <w:r>
        <w:rPr>
          <w:color w:val="0000FF"/>
          <w:sz w:val="24"/>
          <w:szCs w:val="24"/>
        </w:rPr>
        <w:t xml:space="preserve">and in the discussion </w:t>
      </w:r>
      <w:r>
        <w:rPr>
          <w:color w:val="0000FF"/>
          <w:sz w:val="24"/>
          <w:szCs w:val="24"/>
        </w:rPr>
        <w:t>(p. 29)</w:t>
      </w:r>
      <w:r>
        <w:rPr>
          <w:color w:val="0000FF"/>
          <w:sz w:val="24"/>
          <w:szCs w:val="24"/>
        </w:rPr>
        <w:t>.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 xml:space="preserve">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w:t>
      </w:r>
      <w:r>
        <w:rPr>
          <w:color w:val="0000FF"/>
          <w:sz w:val="24"/>
          <w:szCs w:val="24"/>
        </w:rPr>
        <w:t>(p. 16)</w:t>
      </w:r>
      <w:r>
        <w:rPr>
          <w:color w:val="0000FF"/>
          <w:sz w:val="24"/>
          <w:szCs w:val="24"/>
        </w:rPr>
        <w:t xml:space="preserve">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 xml:space="preserve">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w:t>
      </w:r>
      <w:r>
        <w:rPr>
          <w:color w:val="0000FF"/>
          <w:sz w:val="24"/>
          <w:szCs w:val="24"/>
        </w:rPr>
        <w:t>(p. 18)</w:t>
      </w:r>
      <w:r>
        <w:rPr>
          <w:color w:val="0000FF"/>
          <w:sz w:val="24"/>
          <w:szCs w:val="24"/>
        </w:rPr>
        <w:t xml:space="preserve">, as well as slightly expanding our discussion of it in the introduction </w:t>
      </w:r>
      <w:r>
        <w:rPr>
          <w:color w:val="0000FF"/>
          <w:sz w:val="24"/>
          <w:szCs w:val="24"/>
        </w:rPr>
        <w:t>(pp. 5-7, 10-11)</w:t>
      </w:r>
      <w:r>
        <w:rPr>
          <w:color w:val="0000FF"/>
          <w:sz w:val="24"/>
          <w:szCs w:val="24"/>
        </w:rPr>
        <w:t xml:space="preserve">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references for a number of the methods we used:</w:t>
      </w:r>
    </w:p>
    <w:p>
      <w:pPr>
        <w:pStyle w:val="Normal"/>
        <w:widowControl/>
        <w:numPr>
          <w:ilvl w:val="0"/>
          <w:numId w:val="4"/>
        </w:numPr>
        <w:rPr/>
      </w:pPr>
      <w:r>
        <w:rPr>
          <w:b w:val="false"/>
          <w:i w:val="false"/>
          <w:caps w:val="false"/>
          <w:smallCaps w:val="false"/>
          <w:color w:val="0000FF"/>
          <w:spacing w:val="0"/>
          <w:sz w:val="24"/>
          <w:szCs w:val="24"/>
        </w:rPr>
        <w:t xml:space="preserve">We have added a reference to an article which gives an overview of naïve Bayes and describes when it might be useful. </w:t>
      </w:r>
      <w:r>
        <w:rPr>
          <w:b w:val="false"/>
          <w:i w:val="false"/>
          <w:caps w:val="false"/>
          <w:smallCaps w:val="false"/>
          <w:color w:val="0000FF"/>
          <w:spacing w:val="0"/>
          <w:sz w:val="24"/>
          <w:szCs w:val="24"/>
        </w:rPr>
        <w:t>(p. 20)</w:t>
      </w:r>
    </w:p>
    <w:p>
      <w:pPr>
        <w:pStyle w:val="Normal"/>
        <w:widowControl/>
        <w:numPr>
          <w:ilvl w:val="0"/>
          <w:numId w:val="4"/>
        </w:numPr>
        <w:rPr/>
      </w:pPr>
      <w:r>
        <w:rPr>
          <w:b w:val="false"/>
          <w:i w:val="false"/>
          <w:caps w:val="false"/>
          <w:smallCaps w:val="false"/>
          <w:color w:val="0000FF"/>
          <w:spacing w:val="0"/>
          <w:sz w:val="24"/>
          <w:szCs w:val="24"/>
        </w:rPr>
        <w:t xml:space="preserve">We have added a reference to an article about hierarchical modeling and when it is useful in the hierarchical modeling section. </w:t>
      </w:r>
      <w:r>
        <w:rPr>
          <w:b w:val="false"/>
          <w:i w:val="false"/>
          <w:caps w:val="false"/>
          <w:smallCaps w:val="false"/>
          <w:color w:val="0000FF"/>
          <w:spacing w:val="0"/>
          <w:sz w:val="24"/>
          <w:szCs w:val="24"/>
        </w:rPr>
        <w:t>(p. 26)</w:t>
      </w:r>
    </w:p>
    <w:p>
      <w:pPr>
        <w:pStyle w:val="Normal"/>
        <w:widowControl/>
        <w:numPr>
          <w:ilvl w:val="0"/>
          <w:numId w:val="4"/>
        </w:numPr>
        <w:rPr/>
      </w:pPr>
      <w:r>
        <w:rPr>
          <w:b w:val="false"/>
          <w:i w:val="false"/>
          <w:caps w:val="false"/>
          <w:smallCaps w:val="false"/>
          <w:color w:val="0000FF"/>
          <w:spacing w:val="0"/>
          <w:sz w:val="24"/>
          <w:szCs w:val="24"/>
        </w:rPr>
        <w:t>We have a</w:t>
      </w:r>
      <w:r>
        <w:rPr>
          <w:b w:val="false"/>
          <w:i w:val="false"/>
          <w:caps w:val="false"/>
          <w:smallCaps w:val="false"/>
          <w:color w:val="0000FF"/>
          <w:spacing w:val="0"/>
          <w:sz w:val="24"/>
          <w:szCs w:val="24"/>
        </w:rPr>
        <w:t xml:space="preserve">dded references about bootstrapping and bootstrapped logistic regression, and brief justification of our use of this approach. </w:t>
      </w:r>
      <w:r>
        <w:rPr>
          <w:b w:val="false"/>
          <w:i w:val="false"/>
          <w:caps w:val="false"/>
          <w:smallCaps w:val="false"/>
          <w:color w:val="0000FF"/>
          <w:spacing w:val="0"/>
          <w:sz w:val="24"/>
          <w:szCs w:val="24"/>
        </w:rPr>
        <w:t>(p. 21)</w:t>
      </w:r>
    </w:p>
    <w:p>
      <w:pPr>
        <w:pStyle w:val="Normal"/>
        <w:widowControl/>
        <w:numPr>
          <w:ilvl w:val="0"/>
          <w:numId w:val="4"/>
        </w:numPr>
        <w:rPr/>
      </w:pPr>
      <w:r>
        <w:rPr>
          <w:b w:val="false"/>
          <w:i w:val="false"/>
          <w:caps w:val="false"/>
          <w:smallCaps w:val="false"/>
          <w:color w:val="0000FF"/>
          <w:spacing w:val="0"/>
          <w:sz w:val="24"/>
          <w:szCs w:val="24"/>
        </w:rPr>
        <w:t>We have a</w:t>
      </w:r>
      <w:r>
        <w:rPr>
          <w:b w:val="false"/>
          <w:i w:val="false"/>
          <w:caps w:val="false"/>
          <w:smallCaps w:val="false"/>
          <w:color w:val="0000FF"/>
          <w:spacing w:val="0"/>
          <w:sz w:val="24"/>
          <w:szCs w:val="24"/>
        </w:rPr>
        <w:t xml:space="preserve">dded a reference on the Bayesian Information Criterion for model comparison. </w:t>
      </w:r>
      <w:r>
        <w:rPr>
          <w:b w:val="false"/>
          <w:i w:val="false"/>
          <w:caps w:val="false"/>
          <w:smallCaps w:val="false"/>
          <w:color w:val="0000FF"/>
          <w:spacing w:val="0"/>
          <w:sz w:val="24"/>
          <w:szCs w:val="24"/>
        </w:rPr>
        <w:t>(p. 26)</w:t>
      </w:r>
    </w:p>
    <w:p>
      <w:pPr>
        <w:pStyle w:val="Normal"/>
        <w:widowControl/>
        <w:numPr>
          <w:ilvl w:val="0"/>
          <w:numId w:val="4"/>
        </w:numPr>
        <w:rPr/>
      </w:pPr>
      <w:r>
        <w:rPr>
          <w:b w:val="false"/>
          <w:i w:val="false"/>
          <w:caps w:val="false"/>
          <w:smallCaps w:val="false"/>
          <w:color w:val="0000FF"/>
          <w:spacing w:val="0"/>
          <w:sz w:val="24"/>
          <w:szCs w:val="24"/>
        </w:rPr>
        <w:t>We have a</w:t>
      </w:r>
      <w:r>
        <w:rPr>
          <w:b w:val="false"/>
          <w:i w:val="false"/>
          <w:caps w:val="false"/>
          <w:smallCaps w:val="false"/>
          <w:color w:val="0000FF"/>
          <w:spacing w:val="0"/>
          <w:sz w:val="24"/>
          <w:szCs w:val="24"/>
        </w:rPr>
        <w:t xml:space="preserve">dded a reference to a paper on the benefits of within-paper meta-analysis. </w:t>
      </w:r>
      <w:r>
        <w:rPr>
          <w:b w:val="false"/>
          <w:i w:val="false"/>
          <w:caps w:val="false"/>
          <w:smallCaps w:val="false"/>
          <w:color w:val="0000FF"/>
          <w:spacing w:val="0"/>
          <w:sz w:val="24"/>
          <w:szCs w:val="24"/>
        </w:rPr>
        <w:t>(p. 21)</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pP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include some brief highlights after each section of results, we have expanded these somewhat and moved them to the beginning of each result subsection in order to frame the following results, which we hope improves readability. </w:t>
      </w:r>
      <w:r>
        <w:rPr>
          <w:b w:val="false"/>
          <w:i w:val="false"/>
          <w:caps w:val="false"/>
          <w:smallCaps w:val="false"/>
          <w:color w:val="0000FF"/>
          <w:spacing w:val="0"/>
          <w:sz w:val="24"/>
          <w:szCs w:val="24"/>
        </w:rPr>
        <w:t>(pp. 22-24)</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color w:val="0000FF"/>
        </w:rPr>
      </w:pP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pPr>
      <w:r>
        <w:rPr>
          <w:color w:val="0000FF"/>
          <w:sz w:val="24"/>
          <w:szCs w:val="24"/>
        </w:rPr>
        <w:t xml:space="preserve">Connected more directly to the results of De Bock et al. &amp; Kaminski et al. in the discussion of our results. </w:t>
      </w:r>
      <w:r>
        <w:rPr>
          <w:color w:val="0000FF"/>
          <w:sz w:val="24"/>
          <w:szCs w:val="24"/>
        </w:rPr>
        <w:t>(pp. 29, 32, 34)</w:t>
      </w:r>
    </w:p>
    <w:p>
      <w:pPr>
        <w:pStyle w:val="Normal"/>
        <w:widowControl/>
        <w:numPr>
          <w:ilvl w:val="0"/>
          <w:numId w:val="2"/>
        </w:numPr>
        <w:rPr/>
      </w:pPr>
      <w:r>
        <w:rPr>
          <w:color w:val="0000FF"/>
          <w:sz w:val="24"/>
          <w:szCs w:val="24"/>
        </w:rPr>
        <w:t xml:space="preserve">In the new Concrete vs. Abstract section </w:t>
      </w:r>
      <w:r>
        <w:rPr>
          <w:color w:val="0000FF"/>
          <w:sz w:val="24"/>
          <w:szCs w:val="24"/>
        </w:rPr>
        <w:t>(pp. 32-33)</w:t>
      </w:r>
      <w:r>
        <w:rPr>
          <w:color w:val="0000FF"/>
          <w:sz w:val="24"/>
          <w:szCs w:val="24"/>
        </w:rPr>
        <w:t xml:space="preserve"> we connect back to Belenky &amp; Schalk (2014) and the concreteness fading literature (Goldstone &amp; Son 2005, Fyfe 2014) and highlight the importance of our contribution. </w:t>
      </w:r>
    </w:p>
    <w:p>
      <w:pPr>
        <w:pStyle w:val="Normal"/>
        <w:widowControl/>
        <w:numPr>
          <w:ilvl w:val="0"/>
          <w:numId w:val="2"/>
        </w:numPr>
        <w:rPr/>
      </w:pPr>
      <w:r>
        <w:rPr>
          <w:color w:val="0000FF"/>
          <w:sz w:val="24"/>
          <w:szCs w:val="24"/>
        </w:rPr>
        <w:t>Added reference to various relevant literature in formalization section (</w:t>
      </w:r>
      <w:r>
        <w:rPr>
          <w:color w:val="0000FF"/>
          <w:sz w:val="24"/>
          <w:szCs w:val="24"/>
        </w:rPr>
        <w:t xml:space="preserve">including </w:t>
      </w:r>
      <w:r>
        <w:rPr>
          <w:b w:val="false"/>
          <w:i w:val="false"/>
          <w:caps w:val="false"/>
          <w:smallCaps w:val="false"/>
          <w:color w:val="0000FF"/>
          <w:spacing w:val="0"/>
          <w:sz w:val="24"/>
          <w:szCs w:val="24"/>
        </w:rPr>
        <w:t>Richland (2012), Hazzan (1999), Greeno &amp; Riley (1987), Burger &amp; Shaughnessy (1986)</w:t>
      </w:r>
      <w:r>
        <w:rPr>
          <w:b w:val="false"/>
          <w:i w:val="false"/>
          <w:caps w:val="false"/>
          <w:smallCaps w:val="false"/>
          <w:color w:val="0000FF"/>
          <w:spacing w:val="0"/>
          <w:sz w:val="24"/>
          <w:szCs w:val="24"/>
        </w:rPr>
        <w:t>, Nathan (2012), etc.</w:t>
      </w:r>
      <w:r>
        <w:rPr>
          <w:b w:val="false"/>
          <w:i w:val="false"/>
          <w:caps w:val="false"/>
          <w:smallCaps w:val="false"/>
          <w:color w:val="0000FF"/>
          <w:spacing w:val="0"/>
          <w:sz w:val="24"/>
          <w:szCs w:val="24"/>
        </w:rPr>
        <w:t>)</w:t>
      </w:r>
      <w:r>
        <w:rPr>
          <w:color w:val="0000FF"/>
          <w:sz w:val="24"/>
          <w:szCs w:val="24"/>
        </w:rPr>
        <w:t xml:space="preserve">.  </w:t>
      </w:r>
      <w:r>
        <w:rPr>
          <w:color w:val="0000FF"/>
          <w:sz w:val="24"/>
          <w:szCs w:val="24"/>
        </w:rPr>
        <w:t>(pp. 33-34)</w:t>
      </w:r>
    </w:p>
    <w:p>
      <w:pPr>
        <w:pStyle w:val="Normal"/>
        <w:widowControl/>
        <w:numPr>
          <w:ilvl w:val="0"/>
          <w:numId w:val="2"/>
        </w:numPr>
        <w:rPr/>
      </w:pPr>
      <w:r>
        <w:rPr>
          <w:color w:val="0000FF"/>
          <w:sz w:val="24"/>
          <w:szCs w:val="24"/>
        </w:rPr>
        <w:t xml:space="preserve">Added reference to </w:t>
      </w:r>
      <w:r>
        <w:rPr>
          <w:b w:val="false"/>
          <w:i w:val="false"/>
          <w:caps w:val="false"/>
          <w:smallCaps w:val="false"/>
          <w:color w:val="0000FF"/>
          <w:spacing w:val="0"/>
          <w:sz w:val="24"/>
          <w:szCs w:val="24"/>
        </w:rPr>
        <w:t xml:space="preserve">Greeno &amp; Riley (1987)  </w:t>
      </w:r>
      <w:r>
        <w:rPr>
          <w:b w:val="false"/>
          <w:i w:val="false"/>
          <w:caps w:val="false"/>
          <w:smallCaps w:val="false"/>
          <w:color w:val="0000FF"/>
          <w:spacing w:val="0"/>
          <w:sz w:val="24"/>
          <w:szCs w:val="24"/>
        </w:rPr>
        <w:t>and Bisanz &amp; LeFevre (1992)</w:t>
      </w:r>
      <w:r>
        <w:rPr>
          <w:color w:val="0000FF"/>
          <w:sz w:val="24"/>
          <w:szCs w:val="24"/>
        </w:rPr>
        <w:t xml:space="preserve"> in </w:t>
      </w:r>
      <w:r>
        <w:rPr>
          <w:color w:val="0000FF"/>
          <w:sz w:val="24"/>
          <w:szCs w:val="24"/>
        </w:rPr>
        <w:t>the</w:t>
      </w:r>
      <w:r>
        <w:rPr>
          <w:color w:val="0000FF"/>
          <w:sz w:val="24"/>
          <w:szCs w:val="24"/>
        </w:rPr>
        <w:t xml:space="preserve"> Polygon vs. Modular Presentations section. </w:t>
      </w:r>
      <w:r>
        <w:rPr>
          <w:color w:val="0000FF"/>
          <w:sz w:val="24"/>
          <w:szCs w:val="24"/>
        </w:rPr>
        <w:t>(p. 29)</w:t>
      </w:r>
    </w:p>
    <w:p>
      <w:pPr>
        <w:pStyle w:val="Normal"/>
        <w:widowControl/>
        <w:numPr>
          <w:ilvl w:val="0"/>
          <w:numId w:val="2"/>
        </w:numPr>
        <w:rPr/>
      </w:pPr>
      <w:r>
        <w:rPr>
          <w:color w:val="0000FF"/>
          <w:sz w:val="24"/>
          <w:szCs w:val="24"/>
        </w:rPr>
        <w:t xml:space="preserve">Added reference to previous literature on multiple representations in the Hybrid Group section. </w:t>
      </w:r>
      <w:r>
        <w:rPr>
          <w:color w:val="0000FF"/>
          <w:sz w:val="24"/>
          <w:szCs w:val="24"/>
        </w:rPr>
        <w:t>(p. 31)</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pPr>
      <w:r>
        <w:rPr>
          <w:color w:val="0000FF"/>
          <w:sz w:val="24"/>
          <w:szCs w:val="24"/>
        </w:rPr>
        <w:t>We have clarified that this claim is a hypothetical suggestion based on our interpretation of our results and Kaminski’s, rather than a direct result of our experiment.</w:t>
      </w:r>
      <w:r>
        <w:rPr>
          <w:color w:val="0000FF"/>
          <w:sz w:val="24"/>
          <w:szCs w:val="24"/>
        </w:rPr>
        <w:t xml:space="preserve"> </w:t>
      </w:r>
      <w:r>
        <w:rPr>
          <w:color w:val="0000FF"/>
          <w:sz w:val="24"/>
          <w:szCs w:val="24"/>
        </w:rPr>
        <w:t>(p. 32)</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w:t>
      </w:r>
      <w:r>
        <w:rPr>
          <w:b w:val="false"/>
          <w:i w:val="false"/>
          <w:caps w:val="false"/>
          <w:smallCaps w:val="false"/>
          <w:color w:val="0000FF"/>
          <w:spacing w:val="0"/>
          <w:sz w:val="24"/>
          <w:szCs w:val="24"/>
        </w:rPr>
        <w:t>(pp. 33-34)</w:t>
      </w:r>
      <w:r>
        <w:rPr>
          <w:b w:val="false"/>
          <w:i w:val="false"/>
          <w:caps w:val="false"/>
          <w:smallCaps w:val="false"/>
          <w:color w:val="0000FF"/>
          <w:spacing w:val="0"/>
          <w:sz w:val="24"/>
          <w:szCs w:val="24"/>
        </w:rPr>
        <w:t xml:space="preserve"> </w:t>
      </w:r>
      <w:r>
        <w:rPr>
          <w:b w:val="false"/>
          <w:i w:val="false"/>
          <w:caps w:val="false"/>
          <w:smallCaps w:val="false"/>
          <w:color w:val="0000FF"/>
          <w:spacing w:val="0"/>
          <w:sz w:val="24"/>
          <w:szCs w:val="24"/>
        </w:rPr>
        <w:t xml:space="preserve">and </w:t>
      </w:r>
      <w:r>
        <w:rPr>
          <w:b w:val="false"/>
          <w:i w:val="false"/>
          <w:caps w:val="false"/>
          <w:smallCaps w:val="false"/>
          <w:color w:val="0000FF"/>
          <w:spacing w:val="0"/>
          <w:sz w:val="24"/>
          <w:szCs w:val="24"/>
        </w:rPr>
        <w:t>includ</w:t>
      </w:r>
      <w:r>
        <w:rPr>
          <w:b w:val="false"/>
          <w:i w:val="false"/>
          <w:caps w:val="false"/>
          <w:smallCaps w:val="false"/>
          <w:color w:val="0000FF"/>
          <w:spacing w:val="0"/>
          <w:sz w:val="24"/>
          <w:szCs w:val="24"/>
        </w:rPr>
        <w:t>ed</w:t>
      </w:r>
      <w:r>
        <w:rPr>
          <w:b w:val="false"/>
          <w:i w:val="false"/>
          <w:caps w:val="false"/>
          <w:smallCaps w:val="false"/>
          <w:color w:val="0000FF"/>
          <w:spacing w:val="0"/>
          <w:sz w:val="24"/>
          <w:szCs w:val="24"/>
        </w:rPr>
        <w:t xml:space="preserve">references back to </w:t>
      </w:r>
      <w:bookmarkStart w:id="2" w:name="__DdeLink__197_943471363"/>
      <w:r>
        <w:rPr>
          <w:b w:val="false"/>
          <w:i w:val="false"/>
          <w:caps w:val="false"/>
          <w:smallCaps w:val="false"/>
          <w:color w:val="0000FF"/>
          <w:spacing w:val="0"/>
          <w:sz w:val="24"/>
          <w:szCs w:val="24"/>
        </w:rPr>
        <w:t>Richland (2012), Hazzan (1999), Greeno &amp; Riley (1987) and Burger &amp; Shaughnessy (1986)</w:t>
      </w:r>
      <w:bookmarkEnd w:id="2"/>
      <w:r>
        <w:rPr>
          <w:b w:val="false"/>
          <w:i w:val="false"/>
          <w:caps w:val="false"/>
          <w:smallCaps w:val="false"/>
          <w:color w:val="0000FF"/>
          <w:spacing w:val="0"/>
          <w:sz w:val="24"/>
          <w:szCs w:val="24"/>
        </w:rPr>
        <w:t xml:space="preserve"> in hopes of making this more clear.</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sz w:val="24"/>
          <w:szCs w:val="24"/>
        </w:rP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sz w:val="24"/>
          <w:szCs w:val="24"/>
        </w:rPr>
      </w:pPr>
      <w:r>
        <w:rPr>
          <w:sz w:val="24"/>
          <w:szCs w:val="24"/>
        </w:rPr>
      </w:r>
    </w:p>
    <w:p>
      <w:pPr>
        <w:pStyle w:val="Normal"/>
        <w:widowControl/>
        <w:ind w:left="0" w:right="0" w:hanging="0"/>
        <w:rPr/>
      </w:pPr>
      <w:r>
        <w:rPr>
          <w:color w:val="0000FF"/>
          <w:sz w:val="24"/>
          <w:szCs w:val="24"/>
        </w:rPr>
        <w:t>-the suggested example is more clear, we have updated it.</w:t>
      </w:r>
      <w:r>
        <w:rPr>
          <w:color w:val="0000FF"/>
          <w:sz w:val="24"/>
          <w:szCs w:val="24"/>
        </w:rPr>
        <w:t xml:space="preserve"> </w:t>
      </w:r>
      <w:r>
        <w:rPr>
          <w:color w:val="0000FF"/>
          <w:sz w:val="24"/>
          <w:szCs w:val="24"/>
        </w:rPr>
        <w:t>(p. 6)</w:t>
      </w:r>
    </w:p>
    <w:p>
      <w:pPr>
        <w:pStyle w:val="Normal"/>
        <w:widowControl/>
        <w:ind w:left="0" w:right="0" w:hanging="0"/>
        <w:rPr/>
      </w:pPr>
      <w:r>
        <w:rPr>
          <w:color w:val="0000FF"/>
          <w:sz w:val="24"/>
          <w:szCs w:val="24"/>
        </w:rPr>
        <w:t>-This is a vestige of an earlier draft of the paper, we have replaced it with a description that more accurately reflects the current argument.</w:t>
      </w:r>
      <w:r>
        <w:rPr>
          <w:color w:val="0000FF"/>
          <w:sz w:val="24"/>
          <w:szCs w:val="24"/>
        </w:rPr>
        <w:t xml:space="preserve"> </w:t>
      </w:r>
      <w:r>
        <w:rPr>
          <w:color w:val="0000FF"/>
          <w:sz w:val="24"/>
          <w:szCs w:val="24"/>
        </w:rPr>
        <w:t>(p. 11)</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pPr>
      <w:r>
        <w:rPr>
          <w:color w:val="0000FF"/>
          <w:sz w:val="24"/>
          <w:szCs w:val="24"/>
        </w:rPr>
        <w:t>-We have removed it.</w:t>
      </w:r>
      <w:r>
        <w:rPr>
          <w:sz w:val="24"/>
          <w:szCs w:val="24"/>
        </w:rPr>
        <w:br/>
        <w:br/>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As above: 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 xml:space="preserve">In order to make this more clear, we have substantially rewritten the introduction of the paper </w:t>
      </w:r>
      <w:r>
        <w:rPr>
          <w:color w:val="0000FF"/>
        </w:rPr>
        <w:t>(pp. 3-13)</w:t>
      </w:r>
      <w:r>
        <w:rPr>
          <w:color w:val="0000FF"/>
        </w:rPr>
        <w:t xml:space="preserve"> to better highlight these issues and make the connection and contribution of our work to the previous literature more clear.</w:t>
      </w:r>
    </w:p>
    <w:p>
      <w:pPr>
        <w:pStyle w:val="Normal"/>
        <w:rPr>
          <w:color w:val="0000FF"/>
        </w:rPr>
      </w:pPr>
      <w:r>
        <w:rPr>
          <w:color w:val="0000FF"/>
        </w:rPr>
      </w:r>
    </w:p>
    <w:p>
      <w:pPr>
        <w:pStyle w:val="Normal"/>
        <w:widowControl/>
        <w:ind w:left="0" w:right="0" w:hanging="0"/>
        <w:rPr/>
      </w:pPr>
      <w:r>
        <w:rPr>
          <w:b w:val="false"/>
          <w:i w:val="false"/>
          <w:caps w:val="false"/>
          <w:smallCaps w:val="false"/>
          <w:color w:val="0000FF"/>
          <w:spacing w:val="0"/>
          <w:sz w:val="24"/>
          <w:szCs w:val="24"/>
        </w:rPr>
        <w:t xml:space="preserve">The second issue in particular was inadequately highlighted previously, so we have added new sections to the introduction and discussion </w:t>
      </w:r>
      <w:r>
        <w:rPr>
          <w:b w:val="false"/>
          <w:i w:val="false"/>
          <w:caps w:val="false"/>
          <w:smallCaps w:val="false"/>
          <w:color w:val="0000FF"/>
          <w:spacing w:val="0"/>
          <w:sz w:val="24"/>
          <w:szCs w:val="24"/>
        </w:rPr>
        <w:t>(pp. 7-8, 32-33)</w:t>
      </w:r>
      <w:r>
        <w:rPr>
          <w:b w:val="false"/>
          <w:i w:val="false"/>
          <w:caps w:val="false"/>
          <w:smallCaps w:val="false"/>
          <w:color w:val="0000FF"/>
          <w:spacing w:val="0"/>
          <w:sz w:val="24"/>
          <w:szCs w:val="24"/>
        </w:rPr>
        <w:t xml:space="preserve"> where we discuss it </w:t>
      </w:r>
      <w:r>
        <w:rPr>
          <w:b w:val="false"/>
          <w:i w:val="false"/>
          <w:caps w:val="false"/>
          <w:smallCaps w:val="false"/>
          <w:color w:val="0000FF"/>
          <w:spacing w:val="0"/>
          <w:sz w:val="24"/>
          <w:szCs w:val="24"/>
        </w:rPr>
        <w:t>and include more of the prior literature</w:t>
      </w:r>
      <w:r>
        <w:rPr>
          <w:b w:val="false"/>
          <w:i w:val="false"/>
          <w:caps w:val="false"/>
          <w:smallCaps w:val="false"/>
          <w:color w:val="0000FF"/>
          <w:spacing w:val="0"/>
          <w:sz w:val="24"/>
          <w:szCs w:val="24"/>
        </w:rPr>
        <w:t>. We hope to broaden the discussion in the field further beyond the simple “concrete vs. abstract’’ dimension, by illustrating that different presentations can relate a concept in different ways (in our case, visuospatially vs. connecting more directly to prior arithmetic concepts). These differences can accentuate or obscure different aspects of the concept in question. We suggest that rather than concrete vs. abstract, it is these connections that are the relevant feature for assessing presentations.</w:t>
      </w:r>
    </w:p>
    <w:p>
      <w:pPr>
        <w:pStyle w:val="Normal"/>
        <w:rPr/>
      </w:pPr>
      <w:r>
        <w:rPr/>
      </w:r>
    </w:p>
    <w:p>
      <w:pPr>
        <w:pStyle w:val="Normal"/>
        <w:rPr>
          <w:color w:val="0000FF"/>
        </w:rPr>
      </w:pPr>
      <w:r>
        <w:rPr>
          <w:color w:val="0000FF"/>
        </w:rPr>
        <w:t>We have also addressed some of the specific points you raised:</w:t>
      </w:r>
    </w:p>
    <w:p>
      <w:pPr>
        <w:pStyle w:val="Normal"/>
        <w:widowControl/>
        <w:numPr>
          <w:ilvl w:val="0"/>
          <w:numId w:val="3"/>
        </w:numPr>
        <w:rPr/>
      </w:pPr>
      <w:r>
        <w:rPr>
          <w:b w:val="false"/>
          <w:i w:val="false"/>
          <w:caps w:val="false"/>
          <w:smallCaps w:val="false"/>
          <w:color w:val="0000FF"/>
          <w:spacing w:val="0"/>
          <w:sz w:val="24"/>
          <w:szCs w:val="24"/>
        </w:rPr>
        <w:t xml:space="preserve">Added more literature on Abstract vs. Concrete, including Belenky &amp; Schalk’s review and some of the concreteness fading literature (Goldstone &amp; Son, 2005; Fyfe et al., 2014). </w:t>
      </w:r>
      <w:r>
        <w:rPr>
          <w:b w:val="false"/>
          <w:i w:val="false"/>
          <w:caps w:val="false"/>
          <w:smallCaps w:val="false"/>
          <w:color w:val="0000FF"/>
          <w:spacing w:val="0"/>
          <w:sz w:val="24"/>
          <w:szCs w:val="24"/>
        </w:rPr>
        <w:t>(pp. 4, 7-8, 32-33)</w:t>
      </w:r>
    </w:p>
    <w:p>
      <w:pPr>
        <w:pStyle w:val="Normal"/>
        <w:widowControl/>
        <w:numPr>
          <w:ilvl w:val="0"/>
          <w:numId w:val="3"/>
        </w:numPr>
        <w:rPr/>
      </w:pPr>
      <w:r>
        <w:rPr>
          <w:b w:val="false"/>
          <w:i w:val="false"/>
          <w:caps w:val="false"/>
          <w:smallCaps w:val="false"/>
          <w:color w:val="0000FF"/>
          <w:spacing w:val="0"/>
          <w:sz w:val="24"/>
          <w:szCs w:val="24"/>
        </w:rPr>
        <w:t xml:space="preserve">Added reference to Preparation for Future Learning (Bransford &amp; Schwartz, 1999) and the idea that different ways of learning may support different types of understanding (Nokes, 2005) to provide context for and more clearly motivate the interest in learning later concepts. </w:t>
      </w:r>
      <w:r>
        <w:rPr>
          <w:b w:val="false"/>
          <w:i w:val="false"/>
          <w:caps w:val="false"/>
          <w:smallCaps w:val="false"/>
          <w:color w:val="0000FF"/>
          <w:spacing w:val="0"/>
          <w:sz w:val="24"/>
          <w:szCs w:val="24"/>
        </w:rPr>
        <w:t>(p. 4, 10, 29)</w:t>
      </w:r>
    </w:p>
    <w:p>
      <w:pPr>
        <w:pStyle w:val="Normal"/>
        <w:widowControl/>
        <w:numPr>
          <w:ilvl w:val="0"/>
          <w:numId w:val="3"/>
        </w:numPr>
        <w:rPr/>
      </w:pPr>
      <w:r>
        <w:rPr>
          <w:b w:val="false"/>
          <w:i w:val="false"/>
          <w:caps w:val="false"/>
          <w:smallCaps w:val="false"/>
          <w:color w:val="0000FF"/>
          <w:spacing w:val="0"/>
          <w:sz w:val="24"/>
          <w:szCs w:val="24"/>
        </w:rPr>
        <w:t xml:space="preserve">Added references to Ainsworth (2006) and Rau (2016) to better motivate the idea that multiple presentations may be beneficial or detrimental depending on their features </w:t>
      </w:r>
      <w:r>
        <w:rPr>
          <w:b w:val="false"/>
          <w:i w:val="false"/>
          <w:caps w:val="false"/>
          <w:smallCaps w:val="false"/>
          <w:color w:val="0000FF"/>
          <w:spacing w:val="0"/>
          <w:sz w:val="24"/>
          <w:szCs w:val="24"/>
        </w:rPr>
        <w:t>and provide context for our discussion. (pp. 4, 8, 12, 16, 19, 31-32)</w:t>
      </w:r>
    </w:p>
    <w:p>
      <w:pPr>
        <w:pStyle w:val="Normal"/>
        <w:widowControl/>
        <w:numPr>
          <w:ilvl w:val="0"/>
          <w:numId w:val="3"/>
        </w:numPr>
        <w:rPr>
          <w:color w:val="0000FF"/>
        </w:rPr>
      </w:pPr>
      <w:r>
        <w:rPr>
          <w:b w:val="false"/>
          <w:i w:val="false"/>
          <w:caps w:val="false"/>
          <w:smallCaps w:val="false"/>
          <w:color w:val="0000FF"/>
          <w:spacing w:val="0"/>
          <w:sz w:val="24"/>
          <w:szCs w:val="24"/>
        </w:rPr>
        <w:t xml:space="preserve">Added a paragraph to the new Limitations &amp; Future Directions section </w:t>
      </w:r>
      <w:r>
        <w:rPr>
          <w:b w:val="false"/>
          <w:i w:val="false"/>
          <w:caps w:val="false"/>
          <w:smallCaps w:val="false"/>
          <w:color w:val="0000FF"/>
          <w:spacing w:val="0"/>
          <w:sz w:val="24"/>
          <w:szCs w:val="24"/>
        </w:rPr>
        <w:t>(pp. 35-36)</w:t>
      </w:r>
      <w:r>
        <w:rPr>
          <w:b w:val="false"/>
          <w:i w:val="false"/>
          <w:caps w:val="false"/>
          <w:smallCaps w:val="false"/>
          <w:color w:val="0000FF"/>
          <w:spacing w:val="0"/>
          <w:sz w:val="24"/>
          <w:szCs w:val="24"/>
        </w:rPr>
        <w:t xml:space="preserve"> acknowledging the fact that different presentation symbols were used for the two groups throughout, and suggesting that future work should investigate whether this is necessary to observe effects on subsequent concepts.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We hope that these changes make the motivation for and contribution of our study more clear.</w:t>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pPr>
      <w:r>
        <w:rPr>
          <w:sz w:val="24"/>
          <w:szCs w:val="24"/>
        </w:rP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pPr>
      <w:r>
        <w:rPr>
          <w:color w:val="0000FF"/>
          <w:sz w:val="24"/>
          <w:szCs w:val="24"/>
        </w:rPr>
        <w:t xml:space="preserve">We have made note of the broader relevance of our specific questions about presentations </w:t>
      </w:r>
      <w:r>
        <w:rPr>
          <w:color w:val="0000FF"/>
          <w:sz w:val="24"/>
          <w:szCs w:val="24"/>
        </w:rPr>
        <w:t>(p. 11)</w:t>
      </w:r>
      <w:r>
        <w:rPr>
          <w:color w:val="0000FF"/>
          <w:sz w:val="24"/>
          <w:szCs w:val="24"/>
        </w:rPr>
        <w:t>, while attempting to still maintain the position that these questions are just a starting point rather than a definitive list. Also, in revising the introduction and discussion, we have tried to include more connections to broader issues.</w:t>
      </w:r>
    </w:p>
    <w:p>
      <w:pPr>
        <w:pStyle w:val="Normal"/>
        <w:widowControl/>
        <w:ind w:left="0" w:right="0" w:hanging="0"/>
        <w:rPr>
          <w:sz w:val="24"/>
          <w:szCs w:val="24"/>
        </w:rPr>
      </w:pPr>
      <w:r>
        <w:rPr>
          <w:sz w:val="24"/>
          <w:szCs w:val="24"/>
        </w:rPr>
      </w:r>
    </w:p>
    <w:p>
      <w:pPr>
        <w:pStyle w:val="Normal"/>
        <w:widowControl/>
        <w:ind w:left="0" w:right="0" w:hanging="0"/>
        <w:rPr>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r>
        <w:rPr>
          <w:b w:val="false"/>
          <w:i w:val="false"/>
          <w:caps w:val="false"/>
          <w:smallCaps w:val="false"/>
          <w:color w:val="0000FF"/>
          <w:spacing w:val="0"/>
          <w:sz w:val="24"/>
          <w:szCs w:val="24"/>
        </w:rPr>
        <w:t>(pp. 35-36)</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character" w:styleId="ListLabel55">
    <w:name w:val="ListLabel 55"/>
    <w:qFormat/>
    <w:rPr>
      <w:color w:val="0000FF"/>
    </w:rPr>
  </w:style>
  <w:style w:type="character" w:styleId="ListLabel56">
    <w:name w:val="ListLabel 56"/>
    <w:qFormat/>
    <w:rPr>
      <w:color w:val="0000FF"/>
    </w:rPr>
  </w:style>
  <w:style w:type="character" w:styleId="ListLabel57">
    <w:name w:val="ListLabel 57"/>
    <w:qFormat/>
    <w:rPr>
      <w:color w:val="0000FF"/>
    </w:rPr>
  </w:style>
  <w:style w:type="character" w:styleId="ListLabel58">
    <w:name w:val="ListLabel 58"/>
    <w:qFormat/>
    <w:rPr>
      <w:color w:val="0000FF"/>
    </w:rPr>
  </w:style>
  <w:style w:type="character" w:styleId="ListLabel59">
    <w:name w:val="ListLabel 59"/>
    <w:qFormat/>
    <w:rPr>
      <w:color w:val="0000FF"/>
    </w:rPr>
  </w:style>
  <w:style w:type="character" w:styleId="ListLabel60">
    <w:name w:val="ListLabel 60"/>
    <w:qFormat/>
    <w:rPr>
      <w:color w:val="0000FF"/>
    </w:rPr>
  </w:style>
  <w:style w:type="character" w:styleId="ListLabel61">
    <w:name w:val="ListLabel 61"/>
    <w:qFormat/>
    <w:rPr>
      <w:color w:val="0000FF"/>
    </w:rPr>
  </w:style>
  <w:style w:type="character" w:styleId="ListLabel62">
    <w:name w:val="ListLabel 62"/>
    <w:qFormat/>
    <w:rPr>
      <w:color w:val="0000FF"/>
    </w:rPr>
  </w:style>
  <w:style w:type="character" w:styleId="ListLabel63">
    <w:name w:val="ListLabel 63"/>
    <w:qFormat/>
    <w:rPr>
      <w:color w:val="0000FF"/>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color w:val="0000FF"/>
    </w:rPr>
  </w:style>
  <w:style w:type="character" w:styleId="ListLabel74">
    <w:name w:val="ListLabel 74"/>
    <w:qFormat/>
    <w:rPr>
      <w:color w:val="0000FF"/>
    </w:rPr>
  </w:style>
  <w:style w:type="character" w:styleId="ListLabel75">
    <w:name w:val="ListLabel 75"/>
    <w:qFormat/>
    <w:rPr>
      <w:color w:val="0000FF"/>
    </w:rPr>
  </w:style>
  <w:style w:type="character" w:styleId="ListLabel76">
    <w:name w:val="ListLabel 76"/>
    <w:qFormat/>
    <w:rPr>
      <w:color w:val="0000FF"/>
    </w:rPr>
  </w:style>
  <w:style w:type="character" w:styleId="ListLabel77">
    <w:name w:val="ListLabel 77"/>
    <w:qFormat/>
    <w:rPr>
      <w:color w:val="0000FF"/>
    </w:rPr>
  </w:style>
  <w:style w:type="character" w:styleId="ListLabel78">
    <w:name w:val="ListLabel 78"/>
    <w:qFormat/>
    <w:rPr>
      <w:color w:val="0000FF"/>
    </w:rPr>
  </w:style>
  <w:style w:type="character" w:styleId="ListLabel79">
    <w:name w:val="ListLabel 79"/>
    <w:qFormat/>
    <w:rPr>
      <w:color w:val="0000FF"/>
    </w:rPr>
  </w:style>
  <w:style w:type="character" w:styleId="ListLabel80">
    <w:name w:val="ListLabel 80"/>
    <w:qFormat/>
    <w:rPr>
      <w:color w:val="0000FF"/>
    </w:rPr>
  </w:style>
  <w:style w:type="character" w:styleId="ListLabel81">
    <w:name w:val="ListLabel 81"/>
    <w:qFormat/>
    <w:rPr>
      <w:color w:val="0000FF"/>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color w:val="0000FF"/>
    </w:rPr>
  </w:style>
  <w:style w:type="character" w:styleId="ListLabel92">
    <w:name w:val="ListLabel 92"/>
    <w:qFormat/>
    <w:rPr>
      <w:color w:val="0000FF"/>
    </w:rPr>
  </w:style>
  <w:style w:type="character" w:styleId="ListLabel93">
    <w:name w:val="ListLabel 93"/>
    <w:qFormat/>
    <w:rPr>
      <w:color w:val="0000FF"/>
    </w:rPr>
  </w:style>
  <w:style w:type="character" w:styleId="ListLabel94">
    <w:name w:val="ListLabel 94"/>
    <w:qFormat/>
    <w:rPr>
      <w:color w:val="0000FF"/>
    </w:rPr>
  </w:style>
  <w:style w:type="character" w:styleId="ListLabel95">
    <w:name w:val="ListLabel 95"/>
    <w:qFormat/>
    <w:rPr>
      <w:color w:val="0000FF"/>
    </w:rPr>
  </w:style>
  <w:style w:type="character" w:styleId="ListLabel96">
    <w:name w:val="ListLabel 96"/>
    <w:qFormat/>
    <w:rPr>
      <w:color w:val="0000FF"/>
    </w:rPr>
  </w:style>
  <w:style w:type="character" w:styleId="ListLabel97">
    <w:name w:val="ListLabel 97"/>
    <w:qFormat/>
    <w:rPr>
      <w:color w:val="0000FF"/>
    </w:rPr>
  </w:style>
  <w:style w:type="character" w:styleId="ListLabel98">
    <w:name w:val="ListLabel 98"/>
    <w:qFormat/>
    <w:rPr>
      <w:color w:val="0000FF"/>
    </w:rPr>
  </w:style>
  <w:style w:type="character" w:styleId="ListLabel99">
    <w:name w:val="ListLabel 99"/>
    <w:qFormat/>
    <w:rPr>
      <w:color w:val="0000FF"/>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color w:val="0000FF"/>
    </w:rPr>
  </w:style>
  <w:style w:type="character" w:styleId="ListLabel110">
    <w:name w:val="ListLabel 110"/>
    <w:qFormat/>
    <w:rPr>
      <w:color w:val="0000FF"/>
    </w:rPr>
  </w:style>
  <w:style w:type="character" w:styleId="ListLabel111">
    <w:name w:val="ListLabel 111"/>
    <w:qFormat/>
    <w:rPr>
      <w:color w:val="0000FF"/>
    </w:rPr>
  </w:style>
  <w:style w:type="character" w:styleId="ListLabel112">
    <w:name w:val="ListLabel 112"/>
    <w:qFormat/>
    <w:rPr>
      <w:color w:val="0000FF"/>
    </w:rPr>
  </w:style>
  <w:style w:type="character" w:styleId="ListLabel113">
    <w:name w:val="ListLabel 113"/>
    <w:qFormat/>
    <w:rPr>
      <w:color w:val="0000FF"/>
    </w:rPr>
  </w:style>
  <w:style w:type="character" w:styleId="ListLabel114">
    <w:name w:val="ListLabel 114"/>
    <w:qFormat/>
    <w:rPr>
      <w:color w:val="0000FF"/>
    </w:rPr>
  </w:style>
  <w:style w:type="character" w:styleId="ListLabel115">
    <w:name w:val="ListLabel 115"/>
    <w:qFormat/>
    <w:rPr>
      <w:color w:val="0000FF"/>
    </w:rPr>
  </w:style>
  <w:style w:type="character" w:styleId="ListLabel116">
    <w:name w:val="ListLabel 116"/>
    <w:qFormat/>
    <w:rPr>
      <w:color w:val="0000FF"/>
    </w:rPr>
  </w:style>
  <w:style w:type="character" w:styleId="ListLabel117">
    <w:name w:val="ListLabel 117"/>
    <w:qFormat/>
    <w:rPr>
      <w:color w:val="0000FF"/>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color w:val="0000FF"/>
    </w:rPr>
  </w:style>
  <w:style w:type="character" w:styleId="ListLabel129">
    <w:name w:val="ListLabel 129"/>
    <w:qFormat/>
    <w:rPr>
      <w:color w:val="0000FF"/>
    </w:rPr>
  </w:style>
  <w:style w:type="character" w:styleId="ListLabel130">
    <w:name w:val="ListLabel 130"/>
    <w:qFormat/>
    <w:rPr>
      <w:color w:val="0000FF"/>
    </w:rPr>
  </w:style>
  <w:style w:type="character" w:styleId="ListLabel131">
    <w:name w:val="ListLabel 131"/>
    <w:qFormat/>
    <w:rPr>
      <w:color w:val="0000FF"/>
    </w:rPr>
  </w:style>
  <w:style w:type="character" w:styleId="ListLabel132">
    <w:name w:val="ListLabel 132"/>
    <w:qFormat/>
    <w:rPr>
      <w:color w:val="0000FF"/>
    </w:rPr>
  </w:style>
  <w:style w:type="character" w:styleId="ListLabel133">
    <w:name w:val="ListLabel 133"/>
    <w:qFormat/>
    <w:rPr>
      <w:color w:val="0000FF"/>
    </w:rPr>
  </w:style>
  <w:style w:type="character" w:styleId="ListLabel134">
    <w:name w:val="ListLabel 134"/>
    <w:qFormat/>
    <w:rPr>
      <w:color w:val="0000FF"/>
    </w:rPr>
  </w:style>
  <w:style w:type="character" w:styleId="ListLabel135">
    <w:name w:val="ListLabel 135"/>
    <w:qFormat/>
    <w:rPr>
      <w:color w:val="0000FF"/>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color w:val="0000FF"/>
    </w:rPr>
  </w:style>
  <w:style w:type="character" w:styleId="ListLabel165">
    <w:name w:val="ListLabel 165"/>
    <w:qFormat/>
    <w:rPr>
      <w:color w:val="0000FF"/>
    </w:rPr>
  </w:style>
  <w:style w:type="character" w:styleId="ListLabel166">
    <w:name w:val="ListLabel 166"/>
    <w:qFormat/>
    <w:rPr>
      <w:color w:val="0000FF"/>
    </w:rPr>
  </w:style>
  <w:style w:type="character" w:styleId="ListLabel167">
    <w:name w:val="ListLabel 167"/>
    <w:qFormat/>
    <w:rPr>
      <w:color w:val="0000FF"/>
    </w:rPr>
  </w:style>
  <w:style w:type="character" w:styleId="ListLabel168">
    <w:name w:val="ListLabel 168"/>
    <w:qFormat/>
    <w:rPr>
      <w:color w:val="0000FF"/>
    </w:rPr>
  </w:style>
  <w:style w:type="character" w:styleId="ListLabel169">
    <w:name w:val="ListLabel 169"/>
    <w:qFormat/>
    <w:rPr>
      <w:color w:val="0000FF"/>
    </w:rPr>
  </w:style>
  <w:style w:type="character" w:styleId="ListLabel170">
    <w:name w:val="ListLabel 170"/>
    <w:qFormat/>
    <w:rPr>
      <w:color w:val="0000FF"/>
    </w:rPr>
  </w:style>
  <w:style w:type="character" w:styleId="ListLabel171">
    <w:name w:val="ListLabel 171"/>
    <w:qFormat/>
    <w:rPr>
      <w:color w:val="0000FF"/>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Symbol"/>
    </w:rPr>
  </w:style>
  <w:style w:type="character" w:styleId="ListLabel200">
    <w:name w:val="ListLabel 200"/>
    <w:qFormat/>
    <w:rPr>
      <w:color w:val="0000FF"/>
    </w:rPr>
  </w:style>
  <w:style w:type="character" w:styleId="ListLabel201">
    <w:name w:val="ListLabel 201"/>
    <w:qFormat/>
    <w:rPr>
      <w:color w:val="0000FF"/>
    </w:rPr>
  </w:style>
  <w:style w:type="character" w:styleId="ListLabel202">
    <w:name w:val="ListLabel 202"/>
    <w:qFormat/>
    <w:rPr>
      <w:color w:val="0000FF"/>
    </w:rPr>
  </w:style>
  <w:style w:type="character" w:styleId="ListLabel203">
    <w:name w:val="ListLabel 203"/>
    <w:qFormat/>
    <w:rPr>
      <w:color w:val="0000FF"/>
    </w:rPr>
  </w:style>
  <w:style w:type="character" w:styleId="ListLabel204">
    <w:name w:val="ListLabel 204"/>
    <w:qFormat/>
    <w:rPr>
      <w:color w:val="0000FF"/>
    </w:rPr>
  </w:style>
  <w:style w:type="character" w:styleId="ListLabel205">
    <w:name w:val="ListLabel 205"/>
    <w:qFormat/>
    <w:rPr>
      <w:color w:val="0000FF"/>
    </w:rPr>
  </w:style>
  <w:style w:type="character" w:styleId="ListLabel206">
    <w:name w:val="ListLabel 206"/>
    <w:qFormat/>
    <w:rPr>
      <w:color w:val="0000FF"/>
    </w:rPr>
  </w:style>
  <w:style w:type="character" w:styleId="ListLabel207">
    <w:name w:val="ListLabel 207"/>
    <w:qFormat/>
    <w:rPr>
      <w:color w:val="0000FF"/>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1097</TotalTime>
  <Application>LibreOffice/5.1.6.2$Linux_X86_64 LibreOffice_project/10m0$Build-2</Application>
  <Pages>10</Pages>
  <Words>4457</Words>
  <Characters>24149</Characters>
  <CharactersWithSpaces>28576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2017-04-27T09:51:31Z</dcterms:modified>
  <cp:revision>90</cp:revision>
  <dc:subject/>
  <dc:title/>
</cp:coreProperties>
</file>