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07730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Доклад на тему</w:t>
      </w:r>
    </w:p>
    <w:p w:rsidR="00AA1956" w:rsidRDefault="0007730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&lt;&lt;Сигнальный процессор TMS320C6203&gt;&gt;</w:t>
      </w:r>
    </w:p>
    <w:p w:rsidR="00AA1956" w:rsidRDefault="00AA195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A1956" w:rsidRDefault="0007730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Дисциплина</w:t>
      </w:r>
    </w:p>
    <w:p w:rsidR="00AA1956" w:rsidRDefault="0007730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&lt;&lt;Сигнальные процессоры&gt;&gt;</w:t>
      </w: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0773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33501/4                               ___________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А.Ю. Ламтев</w:t>
      </w:r>
    </w:p>
    <w:p w:rsidR="00AA1956" w:rsidRDefault="000773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(подпись)</w:t>
      </w:r>
    </w:p>
    <w:p w:rsidR="00AA1956" w:rsidRDefault="000773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                                                 ___________    А.В.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Лупин</w:t>
      </w:r>
      <w:proofErr w:type="spellEnd"/>
    </w:p>
    <w:p w:rsidR="00AA1956" w:rsidRDefault="000773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(подпись)</w:t>
      </w: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rPr>
          <w:rFonts w:ascii="Fira Mono" w:eastAsia="Fira Mono" w:hAnsi="Fira Mono" w:cs="Fira Mono"/>
          <w:sz w:val="36"/>
          <w:szCs w:val="36"/>
        </w:rPr>
      </w:pPr>
    </w:p>
    <w:p w:rsidR="00AA1956" w:rsidRDefault="00AA195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A1956" w:rsidRDefault="00077303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Краткое описание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TMS320C6203 - сигнальный процессор (СП) с фиксированной точкой - разработка компании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(TI). Особенностью СП этой серии является высокая производительность и улучшенная архитектура с &lt;&lt;очень длинным словом инструкции&gt;&gt;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very-long-instructio</w:t>
      </w:r>
      <w:r>
        <w:rPr>
          <w:rFonts w:ascii="Times New Roman" w:eastAsia="Times New Roman" w:hAnsi="Times New Roman" w:cs="Times New Roman"/>
          <w:sz w:val="28"/>
          <w:szCs w:val="28"/>
        </w:rPr>
        <w:t>n-word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позволяет СП стать отличным выбором при разработке многоканальных и многофункциональных приложений. На рис. 1 представлено изображение корпуса СП.</w:t>
      </w:r>
    </w:p>
    <w:p w:rsidR="00AA1956" w:rsidRDefault="000773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095500" cy="142875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956" w:rsidRDefault="000773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Изображение корпуса СП.</w:t>
      </w: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Производительность процессора достигает 2400 миллионов инстру</w:t>
      </w:r>
      <w:r>
        <w:rPr>
          <w:rFonts w:ascii="Times New Roman" w:eastAsia="Times New Roman" w:hAnsi="Times New Roman" w:cs="Times New Roman"/>
          <w:sz w:val="28"/>
          <w:szCs w:val="28"/>
        </w:rPr>
        <w:t>кций в секунду (MIPS) при тактовой частоте в 300 МГц. TMS320C6203 обладает эксплуатационной гибкостью высокоскоростных контроллеров и числовыми возможностями векторных процессоров. Данный СП состоит из 32-х регистров общего назначения и 8-ми независимых фу</w:t>
      </w:r>
      <w:r>
        <w:rPr>
          <w:rFonts w:ascii="Times New Roman" w:eastAsia="Times New Roman" w:hAnsi="Times New Roman" w:cs="Times New Roman"/>
          <w:sz w:val="28"/>
          <w:szCs w:val="28"/>
        </w:rPr>
        <w:t>нкциональных блоков. Среди этих 8-ми функциональных блоков 6 являются арифметико-логическими устройствами (АЛУ), что позволяет достичь очень большого параллелизма, а другие 2 - 16-разрядные умножители для 32-разрядного результата. TMS320C6203 выполняет две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операции умножения с накоплением (УН) за цикл,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600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миллионов УН в секунду. Аппаратная логика данного СП зависит от сферы использования, и на его чипе содержатся память и периферия.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Программная память TMS320C6203 состоит из 2-х блоков, один из которых </w:t>
      </w:r>
      <w:r>
        <w:rPr>
          <w:rFonts w:ascii="Times New Roman" w:eastAsia="Times New Roman" w:hAnsi="Times New Roman" w:cs="Times New Roman"/>
          <w:sz w:val="28"/>
          <w:szCs w:val="28"/>
        </w:rPr>
        <w:t>сконфигурирован как программное пространство с отображением памяти и имеет 256 Кб, а другой имеет 128 Кб и может быть сконфигурирован пользователем как кэш или как программное пространство с отображением памяти. Оперативная память состоит из 2-х ячеек памя</w:t>
      </w:r>
      <w:r>
        <w:rPr>
          <w:rFonts w:ascii="Times New Roman" w:eastAsia="Times New Roman" w:hAnsi="Times New Roman" w:cs="Times New Roman"/>
          <w:sz w:val="28"/>
          <w:szCs w:val="28"/>
        </w:rPr>
        <w:t>ти с произвольным доступом (RAM), каждая по 256 Кб.</w:t>
      </w:r>
    </w:p>
    <w:p w:rsidR="00AA1956" w:rsidRDefault="00AA19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СП содержит в себе большой и разнообразный набор периферийных устройств, в который входят:</w:t>
      </w:r>
    </w:p>
    <w:p w:rsidR="00AA1956" w:rsidRDefault="00077303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многоканальных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буфферизируемых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последовательных порта</w:t>
      </w:r>
    </w:p>
    <w:p w:rsidR="00AA1956" w:rsidRDefault="00077303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таймера общего назначения</w:t>
      </w:r>
    </w:p>
    <w:p w:rsidR="00AA1956" w:rsidRDefault="00077303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32-разрядная шина рас</w:t>
      </w:r>
      <w:r>
        <w:rPr>
          <w:rFonts w:ascii="Times New Roman" w:eastAsia="Times New Roman" w:hAnsi="Times New Roman" w:cs="Times New Roman"/>
          <w:sz w:val="28"/>
          <w:szCs w:val="28"/>
        </w:rPr>
        <w:t>ширения, которая совместима с синхронными и асинхронными стандартными в индустрии протоколами</w:t>
      </w:r>
    </w:p>
    <w:p w:rsidR="00AA1956" w:rsidRDefault="00077303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32-разрядный интерфейс подключения внешней памяти, совместимый с SDRAM, SBSRAM и асинхронными периферийными устройствами.</w:t>
      </w:r>
    </w:p>
    <w:p w:rsidR="00AA1956" w:rsidRDefault="00AA19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СП поставляется с полным комплектом инструментов для разработчиков, и в него входят: новый Си компилятор, оптимизатор сборки для упрощения программирования и устройство отладки для среды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Основные параметры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A1956" w:rsidRDefault="00077303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Тактовая частота - до 300 МГц</w:t>
      </w:r>
    </w:p>
    <w:p w:rsidR="00AA1956" w:rsidRDefault="00077303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00 MIPS</w:t>
      </w:r>
    </w:p>
    <w:p w:rsidR="00AA1956" w:rsidRDefault="00077303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Фиксированная точка</w:t>
      </w:r>
    </w:p>
    <w:p w:rsidR="00AA1956" w:rsidRDefault="00077303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питания 1.5 / 1.7 / 1.8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зависимости от модификации</w:t>
      </w:r>
    </w:p>
    <w:p w:rsidR="00AA1956" w:rsidRDefault="00077303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Температурный диапазон 0 - 90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°C (для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модификации  C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6203BGNZA-250 -- от -45 до 105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°C)</w:t>
      </w:r>
    </w:p>
    <w:p w:rsidR="00AA1956" w:rsidRDefault="00077303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процесс 0.15 мкм</w:t>
      </w:r>
    </w:p>
    <w:p w:rsidR="00AA1956" w:rsidRDefault="00077303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Примерная стоимость $95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Архитектурные особенности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CPU выступает ядро DSP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Оно получает &lt;&lt;очень длинные слова инструкций&gt;&gt; для передачи до 8-ми 32-разрядных инструкций 8-ми функциональным блокам каждый временной цикл. В рамках данной архитектуры происходит контрол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над тем, чтобы инструкции не были переданы функциональным блокам, если они не готовы к их исполнению. Первый бит каждой 32-разрядной инструкции определяет,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принадлежит ли следующая инструкция к тому же пакету выполнения, что и предыдущая инструкция, или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должна ли она выполняться в следующем такте как часть следующего пакета выполнения. Пакеты выборки всегда 256-битные, однако пакеты исполнения могут иметь разный размер. Переменная длина пакетов исполнения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- это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ключевая особенность СП данной серии, котора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я позволяет экономить память. </w:t>
      </w: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Ядро состоит из 2-х наборов функциональных блоков. Каждый содержит 4 функциональных блока и регистровый файл. Один набор состоит из функциональных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блоков .L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1, .S1, .M1 и .D1, другой - из .D2, .M2, .S2, и .L2. Каждый из 2-х ре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гистровых файлов содержит 16 32-разрядных регистров. Итого, 32 регистра общего назначения. Оба набора функциональных блоков вместе с двумя регистровыми файлами представлены на функциональной схеме на рис. 2 как A и B. 4 функциональных блока в каждом из наб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оров могут свободно делить 16 регистров между собой. </w:t>
      </w:r>
    </w:p>
    <w:p w:rsidR="00AA1956" w:rsidRDefault="00AA1956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AA1956" w:rsidRDefault="00077303">
      <w:pPr>
        <w:spacing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4927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956" w:rsidRDefault="00077303">
      <w:pPr>
        <w:spacing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Рис. 2. Функциональная схема СП.</w:t>
      </w:r>
    </w:p>
    <w:p w:rsidR="00AA1956" w:rsidRDefault="00AA1956">
      <w:pPr>
        <w:spacing w:line="36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Дополнительно, каждый из 2-х наборов обладает единственной шиной, подсоединенной ко всем регистрам другого набора, благодаря чему оба набора функциональных блоков мо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гут обращаться к данным из регистров другого набора. При обращении к регистру функциональным блоком внутри одного набора, все блоки обслуживаются за один цикл. Доступ к регистру через регистровый файл поддерживает одно чтение и одну запись за цикл.</w:t>
      </w: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Другой ключевой особенностью СП данной серии является архитектура загрузки/хранения, при которой все инструкции работают с регистрами (в отличии от данных в памяти). Два набора блоков адресации данных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(.D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1 и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lastRenderedPageBreak/>
        <w:t>.D2) ответственны всю передачу данных между реги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стровыми файлами и памятью. Адрес данных, управляемый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блоками .D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, позволяет адресам данных, созданным из одного регистрового файла, использоваться для загрузки и хранения данных из другого регистрового файла. </w:t>
      </w:r>
      <w:r>
        <w:rPr>
          <w:rFonts w:ascii="Times New Roman" w:eastAsia="Times New Roman" w:hAnsi="Times New Roman" w:cs="Times New Roman"/>
          <w:sz w:val="28"/>
          <w:szCs w:val="28"/>
        </w:rPr>
        <w:t>TMS320C6203 поддерживает различные режимы косве</w:t>
      </w:r>
      <w:r>
        <w:rPr>
          <w:rFonts w:ascii="Times New Roman" w:eastAsia="Times New Roman" w:hAnsi="Times New Roman" w:cs="Times New Roman"/>
          <w:sz w:val="28"/>
          <w:szCs w:val="28"/>
        </w:rPr>
        <w:t>нной адресации с использованием режимов линейной или циклической адресации с 5- или 15-разрядными смещениями. Все инструкции являются условными, и большинство из них могут получить доступ к любому из 32 регистров. Некоторые регистры, однако, выделяются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поддержки конкретной адресации или сохранения условий условной инструкции (если условие не является истинным автоматически). Два функциональных блока .M предназначены для умножения. Два функциональных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блока .S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.L выполняют общий набор логических функций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функций ветвления с результатами, доступными каждый такт. Более подробно пути данных в наборах блоков A и B представлены на рис. 3.</w:t>
      </w: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Поток обработки начинается, когда пакет выборки команд, состоящий из 256 битов, выбирается из программной памяти. 32-разр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ядные инструкции, предназначенные для отдельных функциональных блоков связаны вместе &lt;&lt;1&gt;&gt; младшем разряде слова инструкции. Инструкции, которые объединены вместе для одновременного исполнения (до 8-ми) составляют пакет выполнения. &lt;&lt;0&gt;&gt; в младшем разряде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слова инструкции разбивает цепочку, эффективно размещая инструкции, которые следуют за ним в </w:t>
      </w: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4050" cy="812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956" w:rsidRDefault="000773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Пути данных в ядре СП.</w:t>
      </w: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следующем пакете выполнения. Если исполняемый пакет превышает 256-битное ограничение пакета выборки, то сборщик помещает его в 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едующий пакет выборки, а оставшаяся часть текущего пакета выборки дополняется инструкциями NOP (от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пустая инструкция). Число пакетов выполнения в рамках одного пакета выборки может быть от 1 до 8. Пакеты выполнения отправляются в соответствую</w:t>
      </w:r>
      <w:r>
        <w:rPr>
          <w:rFonts w:ascii="Times New Roman" w:eastAsia="Times New Roman" w:hAnsi="Times New Roman" w:cs="Times New Roman"/>
          <w:sz w:val="28"/>
          <w:szCs w:val="28"/>
        </w:rPr>
        <w:t>щие функциональные блоки со скоростью 1 пакет за тактовый цикл, и следующий 256-битный пакет выборки не извлекается до тех пор, пока все пакеты исполнения из текущей выборки не будут отправлены. После декодирования инструкции одновременно управляют всеми а</w:t>
      </w:r>
      <w:r>
        <w:rPr>
          <w:rFonts w:ascii="Times New Roman" w:eastAsia="Times New Roman" w:hAnsi="Times New Roman" w:cs="Times New Roman"/>
          <w:sz w:val="28"/>
          <w:szCs w:val="28"/>
        </w:rPr>
        <w:t>ктивными функциональными блоками с максимальной скоростью выполнения до 8-ми инструкций за такт. Хотя большинство результатов хранятся в 32-разрядных регистрах, они могут быть впоследствии перемещены в память как байты или полуслова. Все инструкции загрузк</w:t>
      </w:r>
      <w:r>
        <w:rPr>
          <w:rFonts w:ascii="Times New Roman" w:eastAsia="Times New Roman" w:hAnsi="Times New Roman" w:cs="Times New Roman"/>
          <w:sz w:val="28"/>
          <w:szCs w:val="28"/>
        </w:rPr>
        <w:t>и и хранения адресуются кратно байту, половине слова или целому слову.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</w:t>
      </w:r>
    </w:p>
    <w:p w:rsidR="00AA1956" w:rsidRDefault="00AA1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1956" w:rsidRDefault="00077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Сигнальный процессор компании TI TMS320C6203 в момент выхода был отличным решением, однако сегодня он считается устаревшим. На рынке есть решения с меньшей стоимостью и при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более высоким быстродействием и большим набором инструментов разработчика. В том числе компания TI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предлагает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минимум вдвое более дешёвые и более быстрые СП с фиксированной точкой - СП серии TMS320C64x. Также есть СП (серия TMS320C674x), одновременно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поддерживающие работу с и с фиксированной точкой и с плавающей, и имеющие лучшие по сравнению с TMS320C6203 показатели производительности, энергопотребления и стоимость.</w:t>
      </w:r>
    </w:p>
    <w:sectPr w:rsidR="00AA1956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303" w:rsidRDefault="00077303">
      <w:pPr>
        <w:spacing w:line="240" w:lineRule="auto"/>
      </w:pPr>
      <w:r>
        <w:separator/>
      </w:r>
    </w:p>
  </w:endnote>
  <w:endnote w:type="continuationSeparator" w:id="0">
    <w:p w:rsidR="00077303" w:rsidRDefault="00077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56" w:rsidRDefault="00077303">
    <w:pPr>
      <w:jc w:val="center"/>
    </w:pPr>
    <w:r>
      <w:fldChar w:fldCharType="begin"/>
    </w:r>
    <w:r>
      <w:instrText>PAGE</w:instrText>
    </w:r>
    <w:r w:rsidR="008B1B1D">
      <w:fldChar w:fldCharType="separate"/>
    </w:r>
    <w:r w:rsidR="008B1B1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56" w:rsidRDefault="0007730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Санкт-Петербург</w:t>
    </w:r>
  </w:p>
  <w:p w:rsidR="00AA1956" w:rsidRDefault="0007730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2018</w:t>
    </w:r>
  </w:p>
  <w:p w:rsidR="00AA1956" w:rsidRDefault="00AA1956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:rsidR="00AA1956" w:rsidRDefault="00AA1956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303" w:rsidRDefault="00077303">
      <w:pPr>
        <w:spacing w:line="240" w:lineRule="auto"/>
      </w:pPr>
      <w:r>
        <w:separator/>
      </w:r>
    </w:p>
  </w:footnote>
  <w:footnote w:type="continuationSeparator" w:id="0">
    <w:p w:rsidR="00077303" w:rsidRDefault="00077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56" w:rsidRDefault="00AA1956">
    <w:pPr>
      <w:rPr>
        <w:rFonts w:ascii="Times New Roman" w:eastAsia="Times New Roman" w:hAnsi="Times New Roman" w:cs="Times New Roman"/>
        <w:sz w:val="28"/>
        <w:szCs w:val="28"/>
      </w:rPr>
    </w:pPr>
  </w:p>
  <w:p w:rsidR="00AA1956" w:rsidRDefault="00AA1956">
    <w:pPr>
      <w:rPr>
        <w:rFonts w:ascii="Times New Roman" w:eastAsia="Times New Roman" w:hAnsi="Times New Roman" w:cs="Times New Roman"/>
        <w:sz w:val="28"/>
        <w:szCs w:val="28"/>
      </w:rPr>
    </w:pPr>
  </w:p>
  <w:p w:rsidR="00AA1956" w:rsidRDefault="0007730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:rsidR="00AA1956" w:rsidRDefault="0007730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Институт компьютерных наук и технологий</w:t>
    </w:r>
  </w:p>
  <w:p w:rsidR="00AA1956" w:rsidRDefault="0007730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Кафедра &lt;&lt;Компьютерные системы и программные технологии&gt;&gt;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0FB8"/>
    <w:multiLevelType w:val="multilevel"/>
    <w:tmpl w:val="80720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5F136F"/>
    <w:multiLevelType w:val="multilevel"/>
    <w:tmpl w:val="8910A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A3707E"/>
    <w:multiLevelType w:val="multilevel"/>
    <w:tmpl w:val="A52030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956"/>
    <w:rsid w:val="00077303"/>
    <w:rsid w:val="008B1B1D"/>
    <w:rsid w:val="00AA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34BA"/>
  <w15:docId w15:val="{33AFF140-27B0-4448-B2D7-75F3EBD2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Ламтев</cp:lastModifiedBy>
  <cp:revision>2</cp:revision>
  <dcterms:created xsi:type="dcterms:W3CDTF">2018-06-10T14:04:00Z</dcterms:created>
  <dcterms:modified xsi:type="dcterms:W3CDTF">2018-06-10T14:04:00Z</dcterms:modified>
</cp:coreProperties>
</file>