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300" w:lineRule="auto"/>
        <w:jc w:val="center"/>
      </w:pPr>
      <w:r>
        <w:rPr>
          <w:rFonts w:ascii="Times New Roman" w:hAnsi="Times New Roman" w:eastAsia="Times New Roman"/>
          <w:b/>
          <w:i w:val="0"/>
          <w:color w:val="000000"/>
          <w:sz w:val="28"/>
        </w:rPr>
        <w:t>MÔN SWP391</w:t>
      </w:r>
    </w:p>
    <w:p/>
    <w:p/>
    <w:p>
      <w:pPr>
        <w:pStyle w:val="Title"/>
        <w:keepNext w:val="0"/>
        <w:spacing w:before="0" w:after="160" w:line="300" w:lineRule="auto"/>
        <w:jc w:val="center"/>
      </w:pPr>
      <w:r>
        <w:rPr>
          <w:rFonts w:ascii="Times New Roman" w:hAnsi="Times New Roman" w:eastAsia="Times New Roman"/>
          <w:b/>
          <w:i w:val="0"/>
          <w:color w:val="000000"/>
          <w:sz w:val="40"/>
        </w:rPr>
        <w:t>ĐỀ XUẤT DỰ ÁN</w:t>
      </w:r>
    </w:p>
    <w:p>
      <w:pPr>
        <w:keepNext w:val="0"/>
        <w:spacing w:before="0" w:after="400" w:line="288" w:lineRule="auto"/>
        <w:jc w:val="center"/>
      </w:pPr>
      <w:r>
        <w:rPr>
          <w:rFonts w:ascii="Times New Roman" w:hAnsi="Times New Roman" w:eastAsia="Times New Roman"/>
          <w:b/>
          <w:i w:val="0"/>
          <w:color w:val="000000"/>
          <w:sz w:val="34"/>
        </w:rPr>
        <w:t>Hệ thống quản lý bán hàng và kho đồ gia dụng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2"/>
        <w:gridCol w:w="4872"/>
      </w:tblGrid>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i w:val="0"/>
                <w:color w:val="000000"/>
                <w:sz w:val="24"/>
              </w:rPr>
              <w:t>Nhóm</w:t>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Group03</w:t>
            </w:r>
          </w:p>
        </w:tc>
      </w:tr>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i w:val="0"/>
                <w:color w:val="000000"/>
                <w:sz w:val="24"/>
              </w:rPr>
              <w:t>Thành viên</w:t>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ChuanDH</w:t>
            </w:r>
          </w:p>
        </w:tc>
      </w:tr>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ThienTP</w:t>
            </w:r>
          </w:p>
        </w:tc>
      </w:tr>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AnNP</w:t>
            </w:r>
          </w:p>
        </w:tc>
      </w:tr>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NhaLP</w:t>
            </w:r>
          </w:p>
        </w:tc>
      </w:tr>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TranLTB</w:t>
            </w:r>
          </w:p>
        </w:tc>
      </w:tr>
    </w:tbl>
    <w:p>
      <w:pPr>
        <w:keepNext w:val="0"/>
        <w:spacing w:before="560" w:after="0" w:line="300" w:lineRule="auto"/>
        <w:jc w:val="center"/>
      </w:pPr>
      <w:r>
        <w:rPr>
          <w:rFonts w:ascii="Times New Roman" w:hAnsi="Times New Roman" w:eastAsia="Times New Roman"/>
          <w:b w:val="0"/>
          <w:i w:val="0"/>
          <w:color w:val="000000"/>
          <w:sz w:val="24"/>
        </w:rPr>
        <w:t>Năm 2026</w:t>
      </w:r>
    </w:p>
    <w:p>
      <w:r>
        <w:rPr>
          <w:color w:val="000000"/>
        </w:rPr>
        <w:br w:type="page"/>
      </w:r>
    </w:p>
    <w:p>
      <w:pPr>
        <w:pStyle w:val="Heading1"/>
      </w:pPr>
      <w:r>
        <w:rPr>
          <w:rFonts w:ascii="Times New Roman" w:hAnsi="Times New Roman" w:eastAsia="Times New Roman"/>
          <w:b/>
          <w:i w:val="0"/>
          <w:color w:val="000000"/>
          <w:sz w:val="30"/>
        </w:rPr>
        <w:t>1. Tên của dự án</w:t>
      </w:r>
    </w:p>
    <w:p>
      <w:pPr>
        <w:keepNext w:val="0"/>
        <w:spacing w:before="0" w:after="60" w:line="300" w:lineRule="auto"/>
      </w:pPr>
      <w:r>
        <w:rPr>
          <w:rFonts w:ascii="Times New Roman" w:hAnsi="Times New Roman" w:eastAsia="Times New Roman"/>
          <w:b/>
          <w:i w:val="0"/>
          <w:color w:val="000000"/>
          <w:sz w:val="24"/>
        </w:rPr>
        <w:t xml:space="preserve">Tên tiếng Việt: </w:t>
      </w:r>
      <w:r>
        <w:rPr>
          <w:rFonts w:ascii="Times New Roman" w:hAnsi="Times New Roman" w:eastAsia="Times New Roman"/>
          <w:b w:val="0"/>
          <w:i w:val="0"/>
          <w:color w:val="000000"/>
          <w:sz w:val="24"/>
        </w:rPr>
        <w:t>Hệ thống quản lý bán hàng và kho đồ gia dụng.</w:t>
      </w:r>
    </w:p>
    <w:p>
      <w:pPr>
        <w:keepNext w:val="0"/>
        <w:spacing w:before="0" w:after="160" w:line="300" w:lineRule="auto"/>
      </w:pPr>
      <w:r>
        <w:rPr>
          <w:rFonts w:ascii="Times New Roman" w:hAnsi="Times New Roman" w:eastAsia="Times New Roman"/>
          <w:b/>
          <w:i w:val="0"/>
          <w:color w:val="000000"/>
          <w:sz w:val="24"/>
        </w:rPr>
        <w:t xml:space="preserve">Tên tiếng Anh: </w:t>
      </w:r>
      <w:r>
        <w:rPr>
          <w:rFonts w:ascii="Times New Roman" w:hAnsi="Times New Roman" w:eastAsia="Times New Roman"/>
          <w:b w:val="0"/>
          <w:i w:val="0"/>
          <w:color w:val="000000"/>
          <w:sz w:val="24"/>
        </w:rPr>
        <w:t>Household Goods Sales and Inventory Management System.</w:t>
      </w:r>
    </w:p>
    <w:p>
      <w:pPr>
        <w:pStyle w:val="Heading1"/>
      </w:pPr>
      <w:r>
        <w:rPr>
          <w:rFonts w:ascii="Times New Roman" w:hAnsi="Times New Roman" w:eastAsia="Times New Roman"/>
          <w:b/>
          <w:i w:val="0"/>
          <w:color w:val="000000"/>
          <w:sz w:val="30"/>
        </w:rPr>
        <w:t>2. Tổng quan về dự án</w:t>
      </w:r>
    </w:p>
    <w:p>
      <w:pPr>
        <w:keepNext w:val="0"/>
        <w:spacing w:before="0" w:after="120" w:line="312" w:lineRule="auto"/>
        <w:ind w:firstLine="425"/>
      </w:pPr>
      <w:r>
        <w:rPr>
          <w:rFonts w:ascii="Times New Roman" w:hAnsi="Times New Roman" w:eastAsia="Times New Roman"/>
          <w:b w:val="0"/>
          <w:i w:val="0"/>
          <w:color w:val="000000"/>
          <w:sz w:val="24"/>
        </w:rPr>
        <w:t>Dự án xây dựng một hệ thống web hỗ trợ hoạt động bán hàng và quản lý tồn kho cho một cửa hàng đồ gia dụng. Hệ thống phục vụ cả bán hàng giao tận nơi và bán trực tiếp tại quầy. Dữ liệu đơn hàng, thanh toán, tồn kho và trả hàng được quản lý tập trung để nhân viên dễ theo dõi và hạn chế sai lệch khi xử lý thủ công.</w:t>
      </w:r>
    </w:p>
    <w:p>
      <w:pPr>
        <w:keepNext w:val="0"/>
        <w:spacing w:before="0" w:after="120" w:line="312" w:lineRule="auto"/>
        <w:ind w:firstLine="425"/>
      </w:pPr>
      <w:r>
        <w:rPr>
          <w:rFonts w:ascii="Times New Roman" w:hAnsi="Times New Roman" w:eastAsia="Times New Roman"/>
          <w:b w:val="0"/>
          <w:i w:val="0"/>
          <w:color w:val="000000"/>
          <w:sz w:val="24"/>
        </w:rPr>
        <w:t>Mục tiêu của nhóm là tạo ra một quy trình thống nhất từ lúc khách xem sản phẩm, đặt hàng, thanh toán đến lúc nhân viên đóng gói, giao hàng và cập nhật kết quả. Mỗi thay đổi tồn kho đều có lịch sử để kiểm tra lại. Quản lý có thể theo dõi doanh số, dòng tiền và biến động tồn kho từ dữ liệu đã phát sinh trong hệ thống.</w:t>
      </w:r>
    </w:p>
    <w:p>
      <w:pPr>
        <w:keepNext w:val="0"/>
        <w:spacing w:before="0" w:after="160" w:line="312" w:lineRule="auto"/>
        <w:ind w:firstLine="425"/>
        <w:jc w:val="both"/>
      </w:pPr>
      <w:r>
        <w:rPr>
          <w:rFonts w:ascii="Times New Roman" w:hAnsi="Times New Roman" w:eastAsia="Times New Roman"/>
          <w:b w:val="0"/>
          <w:color w:val="000000"/>
          <w:sz w:val="28"/>
        </w:rPr>
        <w:t>Phạm vi được giới hạn ở một cửa hàng và một kho. Sản phẩm được quản lý theo SKU, gồm các biến thể thực tế như kích thước, màu sắc, dung tích hoặc quy cách đóng gói; khách hàng chọn đúng SKU khi mua. Đơn hàng và yêu cầu trả hàng lưu SKU đã mua để kiểm tra, tiếp nhận hàng trả và hoàn tiền theo từng biến thể. Hệ thống không tự sinh tổ hợp biến thể; quản lý khai báo trực tiếp từng SKU. Dự án cũng không bao gồm nhà cung cấp, đơn mua hàng, nhiều chi nhánh, vận chuyển qua API, bảo hành, đổi sản phẩm hoặc chương trình khách hàng thân thiết.</w:t>
      </w:r>
    </w:p>
    <w:p>
      <w:pPr>
        <w:keepNext/>
        <w:spacing w:before="80" w:after="80" w:line="300" w:lineRule="auto"/>
      </w:pPr>
      <w:r>
        <w:rPr>
          <w:rFonts w:ascii="Times New Roman" w:hAnsi="Times New Roman" w:eastAsia="Times New Roman"/>
          <w:b/>
          <w:i w:val="0"/>
          <w:color w:val="000000"/>
          <w:sz w:val="24"/>
        </w:rPr>
        <w:t>Kết quả dự kiến</w:t>
      </w:r>
    </w:p>
    <w:p>
      <w:pPr>
        <w:pStyle w:val="ListBullet"/>
        <w:keepNext w:val="0"/>
        <w:spacing w:before="0" w:after="60" w:line="288" w:lineRule="auto"/>
        <w:ind w:left="425" w:hanging="198"/>
      </w:pPr>
      <w:r>
        <w:rPr>
          <w:rFonts w:ascii="Times New Roman" w:hAnsi="Times New Roman" w:eastAsia="Times New Roman"/>
          <w:b w:val="0"/>
          <w:i w:val="0"/>
          <w:color w:val="000000"/>
          <w:sz w:val="24"/>
        </w:rPr>
        <w:t>Khách hàng có thể xem sản phẩm, đặt hàng, theo dõi đơn và gửi yêu cầu trả hàng trên một hệ thống.</w:t>
      </w:r>
    </w:p>
    <w:p>
      <w:pPr>
        <w:pStyle w:val="ListBullet"/>
        <w:keepNext w:val="0"/>
        <w:spacing w:before="0" w:after="60" w:line="288" w:lineRule="auto"/>
        <w:ind w:left="425" w:hanging="198"/>
      </w:pPr>
      <w:r>
        <w:rPr>
          <w:rFonts w:ascii="Times New Roman" w:hAnsi="Times New Roman" w:eastAsia="Times New Roman"/>
          <w:b w:val="0"/>
          <w:i w:val="0"/>
          <w:color w:val="000000"/>
          <w:sz w:val="24"/>
        </w:rPr>
        <w:t>Nhân viên xử lý đơn, bán tại quầy, nhập kho và tiếp nhận hàng trả theo đúng trạng thái.</w:t>
      </w:r>
    </w:p>
    <w:p>
      <w:pPr>
        <w:pStyle w:val="ListBullet"/>
        <w:keepNext w:val="0"/>
        <w:spacing w:before="0" w:after="60" w:line="288" w:lineRule="auto"/>
        <w:ind w:left="425" w:hanging="198"/>
      </w:pPr>
      <w:r>
        <w:rPr>
          <w:rFonts w:ascii="Times New Roman" w:hAnsi="Times New Roman" w:eastAsia="Times New Roman"/>
          <w:b w:val="0"/>
          <w:i w:val="0"/>
          <w:color w:val="000000"/>
          <w:sz w:val="24"/>
        </w:rPr>
        <w:t>Số lượng tồn, số lượng đã giữ và lịch sử biến động kho khớp với các giao dịch đã phát sinh.</w:t>
      </w:r>
    </w:p>
    <w:p>
      <w:pPr>
        <w:pStyle w:val="ListBullet"/>
        <w:keepNext w:val="0"/>
        <w:spacing w:before="0" w:after="60" w:line="288" w:lineRule="auto"/>
        <w:ind w:left="425" w:hanging="198"/>
      </w:pPr>
      <w:r>
        <w:rPr>
          <w:rFonts w:ascii="Times New Roman" w:hAnsi="Times New Roman" w:eastAsia="Times New Roman"/>
          <w:b w:val="0"/>
          <w:i w:val="0"/>
          <w:color w:val="000000"/>
          <w:sz w:val="24"/>
        </w:rPr>
        <w:t>Quản lý có dữ liệu để kiểm tra doanh số, dòng tiền và tồn kho theo khoảng thời gian.</w:t>
      </w:r>
    </w:p>
    <w:p>
      <w:pPr>
        <w:keepNext w:val="0"/>
        <w:spacing w:before="100" w:after="0" w:line="300" w:lineRule="auto"/>
      </w:pPr>
      <w:r>
        <w:rPr>
          <w:rFonts w:ascii="Times New Roman" w:hAnsi="Times New Roman" w:eastAsia="Times New Roman"/>
          <w:b/>
          <w:i w:val="0"/>
          <w:color w:val="000000"/>
          <w:sz w:val="24"/>
        </w:rPr>
        <w:t xml:space="preserve">Công nghệ dự kiến: </w:t>
      </w:r>
      <w:r>
        <w:rPr>
          <w:rFonts w:ascii="Times New Roman" w:hAnsi="Times New Roman" w:eastAsia="Times New Roman"/>
          <w:b w:val="0"/>
          <w:i w:val="0"/>
          <w:color w:val="000000"/>
          <w:sz w:val="24"/>
        </w:rPr>
        <w:t>GitLab, Spring Boot theo mô hình MVC, ReactJS và PostgreSQL trên Supabase.</w:t>
      </w:r>
    </w:p>
    <w:p>
      <w:pPr>
        <w:pStyle w:val="Heading1"/>
        <w:pageBreakBefore/>
      </w:pPr>
      <w:r>
        <w:rPr>
          <w:rFonts w:ascii="Times New Roman" w:hAnsi="Times New Roman" w:eastAsia="Times New Roman"/>
          <w:b/>
          <w:i w:val="0"/>
          <w:color w:val="000000"/>
          <w:sz w:val="30"/>
        </w:rPr>
        <w:t>3. Các actor chính và actor phụ</w:t>
      </w:r>
    </w:p>
    <w:p>
      <w:pPr>
        <w:keepNext w:val="0"/>
        <w:spacing w:before="0" w:after="120" w:line="312" w:lineRule="auto"/>
      </w:pPr>
      <w:r>
        <w:rPr>
          <w:rFonts w:ascii="Times New Roman" w:hAnsi="Times New Roman" w:eastAsia="Times New Roman"/>
          <w:b w:val="0"/>
          <w:i w:val="0"/>
          <w:color w:val="000000"/>
          <w:sz w:val="24"/>
        </w:rPr>
        <w:t>Hệ thống có bốn actor trực tiếp sử dụng và hai actor hỗ trợ. Quyền thao tác được tách theo vai trò để người dùng chỉ xem hoặc cập nhật dữ liệu cần thiết cho công việc của mình.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840"/>
      </w:tblGrid>
      <w:tr>
        <w:trPr>
          <w:cantSplit/>
          <w:tblHeader w:val="true"/>
        </w:trPr>
        <w:tc>
          <w:tcPr>
            <w:tcW w:type="dxa" w:w="2520"/>
            <w:vAlign w:val="center"/>
            <w:tcMar>
              <w:top w:w="80" w:type="dxa"/>
              <w:start w:w="100" w:type="dxa"/>
              <w:bottom w:w="80" w:type="dxa"/>
              <w:end w:w="100" w:type="dxa"/>
            </w:tcMar>
            <w:shd w:fill="D9D9D9" w:val="clear"/>
          </w:tcPr>
          <w:p>
            <w:pPr>
              <w:spacing w:after="0" w:before="0" w:line="240" w:lineRule="auto"/>
              <w:jc w:val="center"/>
            </w:pPr>
            <w:r>
              <w:rPr>
                <w:rFonts w:ascii="Times New Roman" w:hAnsi="Times New Roman" w:eastAsia="Times New Roman"/>
                <w:b/>
                <w:color w:val="000000"/>
                <w:sz w:val="24"/>
              </w:rPr>
            </w:r>
            <w:r>
              <w:rPr>
                <w:rFonts w:ascii="Times New Roman" w:hAnsi="Times New Roman" w:eastAsia="Times New Roman"/>
                <w:b/>
                <w:color w:val="000000"/>
                <w:sz w:val="24"/>
              </w:rPr>
              <w:t>Actor</w:t>
            </w:r>
          </w:p>
        </w:tc>
        <w:tc>
          <w:tcPr>
            <w:tcW w:type="dxa" w:w="6840"/>
            <w:vAlign w:val="center"/>
            <w:tcMar>
              <w:top w:w="80" w:type="dxa"/>
              <w:start w:w="100" w:type="dxa"/>
              <w:bottom w:w="80" w:type="dxa"/>
              <w:end w:w="100" w:type="dxa"/>
            </w:tcMar>
            <w:shd w:fill="D9D9D9" w:val="clear"/>
          </w:tcPr>
          <w:p>
            <w:pPr>
              <w:spacing w:after="0" w:before="0" w:line="240" w:lineRule="auto"/>
              <w:jc w:val="center"/>
            </w:pPr>
            <w:r>
              <w:rPr>
                <w:rFonts w:ascii="Times New Roman" w:hAnsi="Times New Roman" w:eastAsia="Times New Roman"/>
                <w:b/>
                <w:color w:val="000000"/>
                <w:sz w:val="24"/>
              </w:rPr>
            </w:r>
            <w:r>
              <w:rPr>
                <w:rFonts w:ascii="Times New Roman" w:hAnsi="Times New Roman" w:eastAsia="Times New Roman"/>
                <w:b/>
                <w:color w:val="000000"/>
                <w:sz w:val="24"/>
              </w:rPr>
              <w:t>Chức năng tiêu biểu</w:t>
            </w:r>
          </w:p>
        </w:tc>
      </w:tr>
      <w:tr>
        <w:trPr>
          <w:cantSplit/>
        </w:trPr>
        <w:tc>
          <w:tcPr>
            <w:tcW w:type="dxa" w:w="2520"/>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color w:val="000000"/>
                <w:sz w:val="24"/>
              </w:rPr>
              <w:t>Khách vãng lai</w:t>
            </w:r>
          </w:p>
        </w:tc>
        <w:tc>
          <w:tcPr>
            <w:tcW w:type="dxa" w:w="6840"/>
            <w:vAlign w:val="center"/>
            <w:tcMar>
              <w:top w:w="80" w:type="dxa"/>
              <w:start w:w="100" w:type="dxa"/>
              <w:bottom w:w="80" w:type="dxa"/>
              <w:end w:w="100" w:type="dxa"/>
            </w:tcMar>
          </w:tcPr>
          <w:p>
            <w:pPr>
              <w:spacing w:after="0" w:before="0" w:line="240" w:lineRule="auto"/>
              <w:jc w:val="left"/>
            </w:pPr>
            <w:r/>
            <w:r>
              <w:rPr>
                <w:rFonts w:ascii="Times New Roman" w:hAnsi="Times New Roman" w:eastAsia="Times New Roman"/>
                <w:b w:val="0"/>
                <w:color w:val="000000"/>
                <w:sz w:val="24"/>
              </w:rPr>
              <w:t>Xem, tìm kiếm và xem chi tiết sản phẩm; chọn biến thể SKU; dùng giỏ hàng; đăng ký, đăng nhập và yêu cầu đặt lại mật khẩu.</w:t>
            </w:r>
          </w:p>
        </w:tc>
      </w:tr>
      <w:tr>
        <w:trPr>
          <w:cantSplit/>
        </w:trPr>
        <w:tc>
          <w:tcPr>
            <w:tcW w:type="dxa" w:w="2520"/>
            <w:vAlign w:val="center"/>
            <w:tcMar>
              <w:top w:w="80" w:type="dxa"/>
              <w:start w:w="100" w:type="dxa"/>
              <w:bottom w:w="80" w:type="dxa"/>
              <w:end w:w="100" w:type="dxa"/>
            </w:tcMar>
            <w:shd w:fill="F7F7F7" w:val="clear"/>
          </w:tcPr>
          <w:p>
            <w:pPr>
              <w:spacing w:after="0" w:before="0" w:line="240" w:lineRule="auto"/>
              <w:jc w:val="center"/>
            </w:pPr>
            <w:r/>
            <w:r>
              <w:rPr>
                <w:rFonts w:ascii="Times New Roman" w:hAnsi="Times New Roman" w:eastAsia="Times New Roman"/>
                <w:b/>
                <w:color w:val="000000"/>
                <w:sz w:val="24"/>
              </w:rPr>
              <w:t>Khách hàng</w:t>
            </w:r>
          </w:p>
        </w:tc>
        <w:tc>
          <w:tcPr>
            <w:tcW w:type="dxa" w:w="6840"/>
            <w:vAlign w:val="center"/>
            <w:tcMar>
              <w:top w:w="80" w:type="dxa"/>
              <w:start w:w="100" w:type="dxa"/>
              <w:bottom w:w="80" w:type="dxa"/>
              <w:end w:w="100" w:type="dxa"/>
            </w:tcMar>
            <w:shd w:fill="F7F7F7" w:val="clear"/>
          </w:tcPr>
          <w:p>
            <w:pPr>
              <w:spacing w:after="0" w:before="0" w:line="240" w:lineRule="auto"/>
              <w:jc w:val="left"/>
            </w:pPr>
            <w:r/>
            <w:r>
              <w:rPr>
                <w:rFonts w:ascii="Times New Roman" w:hAnsi="Times New Roman" w:eastAsia="Times New Roman"/>
                <w:b w:val="0"/>
                <w:color w:val="000000"/>
                <w:sz w:val="24"/>
              </w:rPr>
              <w:t>Quản lý hồ sơ và địa chỉ; đặt hàng giao tận nơi; thanh toán; xem hoặc hủy đơn đủ điều kiện; yêu cầu trả đúng SKU đã mua.</w:t>
            </w:r>
          </w:p>
        </w:tc>
      </w:tr>
      <w:tr>
        <w:trPr>
          <w:cantSplit/>
        </w:trPr>
        <w:tc>
          <w:tcPr>
            <w:tcW w:type="dxa" w:w="2520"/>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color w:val="000000"/>
                <w:sz w:val="24"/>
              </w:rPr>
              <w:t>Nhân viên</w:t>
            </w:r>
          </w:p>
        </w:tc>
        <w:tc>
          <w:tcPr>
            <w:tcW w:type="dxa" w:w="6840"/>
            <w:vAlign w:val="center"/>
            <w:tcMar>
              <w:top w:w="80" w:type="dxa"/>
              <w:start w:w="100" w:type="dxa"/>
              <w:bottom w:w="80" w:type="dxa"/>
              <w:end w:w="100" w:type="dxa"/>
            </w:tcMar>
          </w:tcPr>
          <w:p>
            <w:pPr>
              <w:spacing w:after="0" w:before="0" w:line="240" w:lineRule="auto"/>
              <w:jc w:val="left"/>
            </w:pPr>
            <w:r/>
            <w:r>
              <w:rPr>
                <w:rFonts w:ascii="Times New Roman" w:hAnsi="Times New Roman" w:eastAsia="Times New Roman"/>
                <w:b w:val="0"/>
                <w:color w:val="000000"/>
                <w:sz w:val="24"/>
              </w:rPr>
              <w:t>Tra cứu đơn; xác nhận đóng gói, xuất giao và ghi nhận kết quả; nhập hàng; bán tại quầy; tạo và tiếp nhận trả hàng tại cửa hàng.</w:t>
            </w:r>
          </w:p>
        </w:tc>
      </w:tr>
      <w:tr>
        <w:trPr>
          <w:cantSplit/>
        </w:trPr>
        <w:tc>
          <w:tcPr>
            <w:tcW w:type="dxa" w:w="2520"/>
            <w:vAlign w:val="center"/>
            <w:tcMar>
              <w:top w:w="80" w:type="dxa"/>
              <w:start w:w="100" w:type="dxa"/>
              <w:bottom w:w="80" w:type="dxa"/>
              <w:end w:w="100" w:type="dxa"/>
            </w:tcMar>
            <w:shd w:fill="F7F7F7" w:val="clear"/>
          </w:tcPr>
          <w:p>
            <w:pPr>
              <w:spacing w:after="0" w:before="0" w:line="240" w:lineRule="auto"/>
              <w:jc w:val="center"/>
            </w:pPr>
            <w:r/>
            <w:r>
              <w:rPr>
                <w:rFonts w:ascii="Times New Roman" w:hAnsi="Times New Roman" w:eastAsia="Times New Roman"/>
                <w:b/>
                <w:color w:val="000000"/>
                <w:sz w:val="24"/>
              </w:rPr>
              <w:t>Quản lý</w:t>
            </w:r>
          </w:p>
        </w:tc>
        <w:tc>
          <w:tcPr>
            <w:tcW w:type="dxa" w:w="6840"/>
            <w:vAlign w:val="center"/>
            <w:tcMar>
              <w:top w:w="80" w:type="dxa"/>
              <w:start w:w="100" w:type="dxa"/>
              <w:bottom w:w="80" w:type="dxa"/>
              <w:end w:w="100" w:type="dxa"/>
            </w:tcMar>
            <w:shd w:fill="F7F7F7" w:val="clear"/>
          </w:tcPr>
          <w:p>
            <w:pPr>
              <w:spacing w:after="0" w:before="0" w:line="240" w:lineRule="auto"/>
              <w:jc w:val="left"/>
            </w:pPr>
            <w:r/>
            <w:r>
              <w:rPr>
                <w:rFonts w:ascii="Times New Roman" w:hAnsi="Times New Roman" w:eastAsia="Times New Roman"/>
                <w:b w:val="0"/>
                <w:color w:val="000000"/>
                <w:sz w:val="24"/>
              </w:rPr>
              <w:t>Quản lý nhân viên, danh mục, sản phẩm và biến thể SKU; điều chỉnh kho; hủy đơn; duyệt trả hàng, ghi nhận hoàn tiền và xem báo cáo.</w:t>
            </w:r>
          </w:p>
        </w:tc>
      </w:tr>
      <w:tr>
        <w:trPr>
          <w:cantSplit/>
        </w:trPr>
        <w:tc>
          <w:tcPr>
            <w:tcW w:type="dxa" w:w="2520"/>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color w:val="000000"/>
                <w:sz w:val="24"/>
              </w:rPr>
              <w:t>Cổng thanh toán</w:t>
            </w:r>
          </w:p>
        </w:tc>
        <w:tc>
          <w:tcPr>
            <w:tcW w:type="dxa" w:w="6840"/>
            <w:vAlign w:val="center"/>
            <w:tcMar>
              <w:top w:w="80" w:type="dxa"/>
              <w:start w:w="100" w:type="dxa"/>
              <w:bottom w:w="80" w:type="dxa"/>
              <w:end w:w="100" w:type="dxa"/>
            </w:tcMar>
          </w:tcPr>
          <w:p>
            <w:pPr>
              <w:spacing w:after="0" w:before="0" w:line="240" w:lineRule="auto"/>
              <w:jc w:val="left"/>
            </w:pPr>
            <w:r/>
            <w:r>
              <w:rPr>
                <w:rFonts w:ascii="Times New Roman" w:hAnsi="Times New Roman" w:eastAsia="Times New Roman"/>
                <w:b w:val="0"/>
                <w:color w:val="000000"/>
                <w:sz w:val="24"/>
              </w:rPr>
              <w:t>Tiếp nhận thanh toán trực tuyến và gửi kết quả đã ký để hệ thống kiểm tra trước khi cập nhật đơn hàng.</w:t>
            </w:r>
          </w:p>
        </w:tc>
      </w:tr>
      <w:tr>
        <w:trPr>
          <w:cantSplit/>
        </w:trPr>
        <w:tc>
          <w:tcPr>
            <w:tcW w:type="dxa" w:w="2520"/>
            <w:vAlign w:val="center"/>
            <w:tcMar>
              <w:top w:w="80" w:type="dxa"/>
              <w:start w:w="100" w:type="dxa"/>
              <w:bottom w:w="80" w:type="dxa"/>
              <w:end w:w="100" w:type="dxa"/>
            </w:tcMar>
            <w:shd w:fill="F7F7F7" w:val="clear"/>
          </w:tcPr>
          <w:p>
            <w:pPr>
              <w:spacing w:after="0" w:before="0" w:line="240" w:lineRule="auto"/>
              <w:jc w:val="center"/>
            </w:pPr>
            <w:r/>
            <w:r>
              <w:rPr>
                <w:rFonts w:ascii="Times New Roman" w:hAnsi="Times New Roman" w:eastAsia="Times New Roman"/>
                <w:b/>
                <w:color w:val="000000"/>
                <w:sz w:val="24"/>
              </w:rPr>
              <w:t>Dịch vụ email</w:t>
            </w:r>
          </w:p>
        </w:tc>
        <w:tc>
          <w:tcPr>
            <w:tcW w:type="dxa" w:w="6840"/>
            <w:vAlign w:val="center"/>
            <w:tcMar>
              <w:top w:w="80" w:type="dxa"/>
              <w:start w:w="100" w:type="dxa"/>
              <w:bottom w:w="80" w:type="dxa"/>
              <w:end w:w="100" w:type="dxa"/>
            </w:tcMar>
            <w:shd w:fill="F7F7F7" w:val="clear"/>
          </w:tcPr>
          <w:p>
            <w:pPr>
              <w:spacing w:after="0" w:before="0" w:line="240" w:lineRule="auto"/>
              <w:jc w:val="left"/>
            </w:pPr>
            <w:r/>
            <w:r>
              <w:rPr>
                <w:rFonts w:ascii="Times New Roman" w:hAnsi="Times New Roman" w:eastAsia="Times New Roman"/>
                <w:b w:val="0"/>
                <w:color w:val="000000"/>
                <w:sz w:val="24"/>
              </w:rPr>
              <w:t>Gửi thư xác minh tài khoản, thiết lập tài khoản nhân viên và đặt lại mật khẩu.</w:t>
            </w:r>
          </w:p>
        </w:tc>
      </w:tr>
    </w:tbl>
    <w:p>
      <w:pPr>
        <w:pStyle w:val="Heading1"/>
        <w:pageBreakBefore/>
        <w:spacing w:after="160"/>
        <w:jc w:val="left"/>
      </w:pPr>
      <w:r>
        <w:rPr>
          <w:rFonts w:ascii="Times New Roman" w:hAnsi="Times New Roman" w:eastAsia="Times New Roman"/>
          <w:b/>
          <w:color w:val="000000"/>
          <w:sz w:val="32"/>
        </w:rPr>
        <w:t>4. Các chức năng chính</w:t>
      </w:r>
    </w:p>
    <w:p>
      <w:pPr>
        <w:spacing w:after="160" w:line="276" w:lineRule="auto"/>
        <w:jc w:val="both"/>
      </w:pPr>
      <w:r>
        <w:rPr>
          <w:rFonts w:ascii="Times New Roman" w:hAnsi="Times New Roman" w:eastAsia="Times New Roman"/>
          <w:b w:val="0"/>
          <w:color w:val="000000"/>
          <w:sz w:val="28"/>
        </w:rPr>
        <w:t>Hệ thống tập trung vào các chức năng chính sau:</w:t>
      </w:r>
    </w:p>
    <w:p>
      <w:pPr>
        <w:spacing w:after="100" w:line="276" w:lineRule="auto"/>
        <w:ind w:left="144" w:hanging="144"/>
        <w:jc w:val="both"/>
      </w:pPr>
      <w:r>
        <w:rPr>
          <w:rFonts w:ascii="Times New Roman" w:hAnsi="Times New Roman" w:eastAsia="Times New Roman"/>
          <w:b w:val="0"/>
          <w:color w:val="000000"/>
          <w:sz w:val="28"/>
        </w:rPr>
        <w:t>1. Quản lý tài khoản khách hàng: đăng ký, đăng nhập, đăng xuất, đổi hoặc đặt lại mật khẩu; cập nhật hồ sơ và địa chỉ giao hàng.</w:t>
      </w:r>
    </w:p>
    <w:p>
      <w:pPr>
        <w:spacing w:after="100" w:line="276" w:lineRule="auto"/>
        <w:ind w:left="144" w:hanging="144"/>
        <w:jc w:val="both"/>
      </w:pPr>
      <w:r>
        <w:rPr>
          <w:rFonts w:ascii="Times New Roman" w:hAnsi="Times New Roman" w:eastAsia="Times New Roman"/>
          <w:b w:val="0"/>
          <w:color w:val="000000"/>
          <w:sz w:val="28"/>
        </w:rPr>
        <w:t>2. Quản lý tài khoản nhân viên: quản lý tạo, cập nhật, khóa hoặc mở khóa tài khoản nhân viên theo quyền được phân công.</w:t>
      </w:r>
    </w:p>
    <w:p>
      <w:pPr>
        <w:spacing w:after="100" w:line="276" w:lineRule="auto"/>
        <w:ind w:left="144" w:hanging="144"/>
        <w:jc w:val="both"/>
      </w:pPr>
      <w:r>
        <w:rPr>
          <w:rFonts w:ascii="Times New Roman" w:hAnsi="Times New Roman" w:eastAsia="Times New Roman"/>
          <w:b w:val="0"/>
          <w:color w:val="000000"/>
          <w:sz w:val="28"/>
        </w:rPr>
        <w:t>3. Quản lý danh mục, thương hiệu và sản phẩm: quản lý tạo, cập nhật, ẩn hoặc hiển thị thông tin bán hàng.</w:t>
      </w:r>
    </w:p>
    <w:p>
      <w:pPr>
        <w:spacing w:after="100" w:line="276" w:lineRule="auto"/>
        <w:ind w:left="144" w:hanging="144"/>
        <w:jc w:val="both"/>
      </w:pPr>
      <w:r>
        <w:rPr>
          <w:rFonts w:ascii="Times New Roman" w:hAnsi="Times New Roman" w:eastAsia="Times New Roman"/>
          <w:b w:val="0"/>
          <w:color w:val="000000"/>
          <w:sz w:val="28"/>
        </w:rPr>
        <w:t>4. Quản lý biến thể sản phẩm theo SKU: khai báo từng SKU có kích thước, màu sắc, dung tích hoặc quy cách đóng gói cụ thể.</w:t>
      </w:r>
    </w:p>
    <w:p>
      <w:pPr>
        <w:spacing w:after="100" w:line="276" w:lineRule="auto"/>
        <w:ind w:left="144" w:hanging="144"/>
        <w:jc w:val="both"/>
      </w:pPr>
      <w:r>
        <w:rPr>
          <w:rFonts w:ascii="Times New Roman" w:hAnsi="Times New Roman" w:eastAsia="Times New Roman"/>
          <w:b w:val="0"/>
          <w:color w:val="000000"/>
          <w:sz w:val="28"/>
        </w:rPr>
        <w:t>5. Tìm kiếm và xem sản phẩm: khách xem danh sách, lọc, tìm kiếm, xem chi tiết và chọn đúng SKU trước khi mua.</w:t>
      </w:r>
    </w:p>
    <w:p>
      <w:pPr>
        <w:spacing w:after="100" w:line="276" w:lineRule="auto"/>
        <w:ind w:left="144" w:hanging="144"/>
        <w:jc w:val="both"/>
      </w:pPr>
      <w:r>
        <w:rPr>
          <w:rFonts w:ascii="Times New Roman" w:hAnsi="Times New Roman" w:eastAsia="Times New Roman"/>
          <w:b w:val="0"/>
          <w:color w:val="000000"/>
          <w:sz w:val="28"/>
        </w:rPr>
        <w:t>6. Quản lý giỏ hàng và đặt đơn giao tận nơi: thêm, sửa, xóa sản phẩm trong giỏ; chọn địa chỉ và xác nhận đơn hàng.</w:t>
      </w:r>
    </w:p>
    <w:p>
      <w:pPr>
        <w:spacing w:after="100" w:line="276" w:lineRule="auto"/>
        <w:ind w:left="144" w:hanging="144"/>
        <w:jc w:val="both"/>
      </w:pPr>
      <w:r>
        <w:rPr>
          <w:rFonts w:ascii="Times New Roman" w:hAnsi="Times New Roman" w:eastAsia="Times New Roman"/>
          <w:b w:val="0"/>
          <w:color w:val="000000"/>
          <w:sz w:val="28"/>
        </w:rPr>
        <w:t>7. Thanh toán và theo dõi đơn hàng: thanh toán trực tuyến, xem lịch sử, biên nhận, trạng thái đơn và hủy đơn khi còn đủ điều kiện.</w:t>
      </w:r>
    </w:p>
    <w:p>
      <w:pPr>
        <w:spacing w:after="100" w:line="276" w:lineRule="auto"/>
        <w:ind w:left="144" w:hanging="144"/>
        <w:jc w:val="both"/>
      </w:pPr>
      <w:r>
        <w:rPr>
          <w:rFonts w:ascii="Times New Roman" w:hAnsi="Times New Roman" w:eastAsia="Times New Roman"/>
          <w:b w:val="0"/>
          <w:color w:val="000000"/>
          <w:sz w:val="28"/>
        </w:rPr>
        <w:t>8. Xử lý đơn hàng tại cửa hàng: tra cứu đơn, xác nhận đóng gói, xuất giao, cập nhật kết quả giao hàng hoặc hủy đơn theo thẩm quyền.</w:t>
      </w:r>
    </w:p>
    <w:p>
      <w:pPr>
        <w:spacing w:after="100" w:line="276" w:lineRule="auto"/>
        <w:ind w:left="144" w:hanging="144"/>
        <w:jc w:val="both"/>
      </w:pPr>
      <w:r>
        <w:rPr>
          <w:rFonts w:ascii="Times New Roman" w:hAnsi="Times New Roman" w:eastAsia="Times New Roman"/>
          <w:b w:val="0"/>
          <w:color w:val="000000"/>
          <w:sz w:val="28"/>
        </w:rPr>
        <w:t>9. Bán hàng tại quầy: lập đơn trực tiếp, ghi nhận thanh toán và trừ tồn kho theo SKU bán ra.</w:t>
      </w:r>
    </w:p>
    <w:p>
      <w:pPr>
        <w:spacing w:after="100" w:line="276" w:lineRule="auto"/>
        <w:ind w:left="144" w:hanging="144"/>
        <w:jc w:val="both"/>
      </w:pPr>
      <w:r>
        <w:rPr>
          <w:rFonts w:ascii="Times New Roman" w:hAnsi="Times New Roman" w:eastAsia="Times New Roman"/>
          <w:b w:val="0"/>
          <w:color w:val="000000"/>
          <w:sz w:val="28"/>
        </w:rPr>
        <w:t>10. Quản lý tồn kho: xem tồn kho, nhập kho, điều chỉnh tồn kho và tra cứu lịch sử biến động của từng SKU.</w:t>
      </w:r>
    </w:p>
    <w:p>
      <w:pPr>
        <w:spacing w:after="100" w:line="276" w:lineRule="auto"/>
        <w:ind w:left="144" w:hanging="144"/>
        <w:jc w:val="both"/>
      </w:pPr>
      <w:r>
        <w:rPr>
          <w:rFonts w:ascii="Times New Roman" w:hAnsi="Times New Roman" w:eastAsia="Times New Roman"/>
          <w:b w:val="0"/>
          <w:color w:val="000000"/>
          <w:sz w:val="28"/>
        </w:rPr>
        <w:t>11. Trả hàng và hoàn tiền: tạo, duyệt, tiếp nhận hàng trả và hoàn tiền theo đúng SKU khách đã mua.</w:t>
      </w:r>
    </w:p>
    <w:p>
      <w:pPr>
        <w:spacing w:after="100" w:line="276" w:lineRule="auto"/>
        <w:ind w:left="144" w:hanging="144"/>
        <w:jc w:val="both"/>
      </w:pPr>
      <w:r>
        <w:rPr>
          <w:rFonts w:ascii="Times New Roman" w:hAnsi="Times New Roman" w:eastAsia="Times New Roman"/>
          <w:b w:val="0"/>
          <w:color w:val="000000"/>
          <w:sz w:val="28"/>
        </w:rPr>
        <w:t>12. Xem báo cáo: theo dõi kết quả bán hàng, dòng tiền và biến động tồn kho phục vụ quản lý cửa hàng.</w:t>
      </w:r>
    </w:p>
    <w:sectPr w:rsidR="00FC693F" w:rsidRPr="0006063C" w:rsidSect="00034616">
      <w:footerReference w:type="default" r:id="rId9"/>
      <w:footerReference w:type="even" r:id="rId10"/>
      <w:footerReference w:type="first" r:id="rId11"/>
      <w:pgSz w:w="12240" w:h="15840"/>
      <w:pgMar w:top="1134" w:right="1134" w:bottom="1020"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eastAsia="Times New Roman"/>
        <w:b w:val="0"/>
        <w:i w:val="0"/>
        <w:color w:val="000000"/>
        <w:sz w:val="18"/>
      </w:rPr>
      <w:t xml:space="preserve">Group03  |  SWP391  |  </w:t>
    </w:r>
    <w:r>
      <w:rPr>
        <w:rFonts w:ascii="Times New Roman" w:hAnsi="Times New Roman" w:eastAsia="Times New Roman"/>
        <w:b w:val="0"/>
        <w:i w:val="0"/>
        <w:color w:val="00000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eastAsia="Times New Roman"/>
        <w:b w:val="0"/>
        <w:i w:val="0"/>
        <w:color w:val="000000"/>
        <w:sz w:val="18"/>
      </w:rPr>
      <w:t xml:space="preserve">Group03  |  SWP391  |  </w:t>
    </w:r>
    <w:r>
      <w:rPr>
        <w:rFonts w:ascii="Times New Roman" w:hAnsi="Times New Roman" w:eastAsia="Times New Roman"/>
        <w:b w:val="0"/>
        <w:i w:val="0"/>
        <w:color w:val="000000"/>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eastAsia="Times New Roman"/>
        <w:b w:val="0"/>
        <w:i w:val="0"/>
        <w:color w:val="000000"/>
        <w:sz w:val="18"/>
      </w:rPr>
      <w:t xml:space="preserve">Group03  |  SWP391  |  </w:t>
    </w:r>
    <w:r>
      <w:rPr>
        <w:rFonts w:ascii="Times New Roman" w:hAnsi="Times New Roman" w:eastAsia="Times New Roman"/>
        <w:b w:val="0"/>
        <w:i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