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Phân tích PESTEL của VinFast tại Đức</w:t>
      </w:r>
    </w:p>
    <w:p>
      <w:r>
        <w:rPr>
          <w:i/>
          <w:sz w:val="21"/>
        </w:rPr>
        <w:t>VF8 và VF9 cần ưu tiên tuân thủ về pin, dữ liệu và giảm gánh nặng thanh toán. Phân tích theo số liệu giả định của đề; kế hoạch tính từ năm bắt đầu triển khai.</w:t>
      </w:r>
    </w:p>
    <w:p>
      <w:pPr>
        <w:pStyle w:val="Heading1"/>
      </w:pPr>
      <w:r>
        <w:t>1 Môi trường và pháp lý</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69"/>
        <w:gridCol w:w="4162"/>
        <w:gridCol w:w="4306"/>
      </w:tblGrid>
      <w:tr>
        <w:trPr>
          <w:cantSplit/>
          <w:tblHeader/>
        </w:trPr>
        <w:tc>
          <w:tcPr>
            <w:tcW w:type="dxa" w:w="1469"/>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Yếu tố</w:t>
            </w:r>
          </w:p>
        </w:tc>
        <w:tc>
          <w:tcPr>
            <w:tcW w:type="dxa" w:w="4162"/>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Tác động</w:t>
            </w:r>
          </w:p>
        </w:tc>
        <w:tc>
          <w:tcPr>
            <w:tcW w:type="dxa" w:w="4306"/>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Giải pháp</w:t>
            </w:r>
          </w:p>
        </w:tc>
      </w:tr>
      <w:tr>
        <w:trPr>
          <w:cantSplit/>
        </w:trPr>
        <w:tc>
          <w:tcPr>
            <w:tcW w:type="dxa" w:w="1469"/>
            <w:vAlign w:val="center"/>
            <w:tcMar>
              <w:top w:w="100" w:type="dxa"/>
              <w:left w:w="100" w:type="dxa"/>
              <w:bottom w:w="100" w:type="dxa"/>
              <w:right w:w="100" w:type="dxa"/>
            </w:tcMar>
          </w:tcPr>
          <w:p>
            <w:pPr>
              <w:keepNext w:val="0"/>
              <w:spacing w:after="0" w:line="250" w:lineRule="auto"/>
              <w:jc w:val="left"/>
            </w:pPr>
            <w:r>
              <w:rPr>
                <w:rFonts w:ascii="Times New Roman" w:hAnsi="Times New Roman"/>
                <w:b/>
                <w:color w:val="000000"/>
                <w:sz w:val="22"/>
              </w:rPr>
              <w:t>Môi trường</w:t>
            </w:r>
          </w:p>
        </w:tc>
        <w:tc>
          <w:tcPr>
            <w:tcW w:type="dxa" w:w="4162"/>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Hộ chiếu pin, phát thải và thu hồi lithium làm tăng chi phí; thiếu dữ liệu có thể cản trở nhập khẩu.</w:t>
            </w:r>
          </w:p>
        </w:tc>
        <w:tc>
          <w:tcPr>
            <w:tcW w:type="dxa" w:w="4306"/>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Truy xuất nguyên liệu, kiểm soát nhà cung cấp; thiết kế pin dễ tháo dỡ, hợp tác thu hồi và tái chế.</w:t>
            </w:r>
          </w:p>
        </w:tc>
      </w:tr>
      <w:tr>
        <w:trPr>
          <w:cantSplit/>
        </w:trPr>
        <w:tc>
          <w:tcPr>
            <w:tcW w:type="dxa" w:w="1469"/>
            <w:vAlign w:val="center"/>
            <w:tcMar>
              <w:top w:w="100" w:type="dxa"/>
              <w:left w:w="100" w:type="dxa"/>
              <w:bottom w:w="100" w:type="dxa"/>
              <w:right w:w="100" w:type="dxa"/>
            </w:tcMar>
          </w:tcPr>
          <w:p>
            <w:pPr>
              <w:keepNext w:val="0"/>
              <w:spacing w:after="0" w:line="250" w:lineRule="auto"/>
              <w:jc w:val="left"/>
            </w:pPr>
            <w:r>
              <w:rPr>
                <w:rFonts w:ascii="Times New Roman" w:hAnsi="Times New Roman"/>
                <w:b/>
                <w:color w:val="000000"/>
                <w:sz w:val="22"/>
              </w:rPr>
              <w:t>Pháp lý</w:t>
            </w:r>
          </w:p>
        </w:tc>
        <w:tc>
          <w:tcPr>
            <w:tcW w:type="dxa" w:w="4162"/>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Quy định pin và GDPR tạo rủi ro xử phạt, gián đoạn kinh doanh nếu không tuân thủ.</w:t>
            </w:r>
          </w:p>
        </w:tc>
        <w:tc>
          <w:tcPr>
            <w:tcW w:type="dxa" w:w="4306"/>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Kiểm chứng hồ sơ pin; xử lý dữ liệu đúng căn cứ, giảm thu thập, mã hóa và kiểm soát truy cập.</w:t>
            </w:r>
          </w:p>
        </w:tc>
      </w:tr>
    </w:tbl>
    <w:p>
      <w:pPr>
        <w:spacing w:after="20" w:before="0" w:line="240" w:lineRule="auto"/>
      </w:pPr>
      <w:r>
        <w:rPr>
          <w:sz w:val="4"/>
        </w:rPr>
      </w:r>
    </w:p>
    <w:p>
      <w:r>
        <w:rPr>
          <w:i w:val="0"/>
          <w:sz w:val="22"/>
        </w:rPr>
        <w:t>Minh bạch chuỗi pin giúp tăng niềm tin và tận dụng vật liệu tái chế. Quy định pin thuộc cả Môi trường và Pháp lý, cần tránh tính trùng tác động.</w:t>
      </w:r>
    </w:p>
    <w:p>
      <w:pPr>
        <w:pStyle w:val="Heading1"/>
      </w:pPr>
      <w:r>
        <w:t>2 Kinh tế và hành vi tiêu dùng</w:t>
      </w:r>
    </w:p>
    <w:p>
      <w:r>
        <w:rPr>
          <w:i w:val="0"/>
        </w:rPr>
        <w:t>Mất trợ cấp làm người từng đủ điều kiện phải trả thêm 4.500 EUR nếu giá niêm yết giữ nguyên; lãi vay 6,5% làm tăng tiền trả góp. Khách hàng có thể hoãn mua, chọn xe rẻ hơn hoặc thuê xe. Cầu VinFast có thể nhạy với giá hơn Volkswagen/BMW do thương hiệu mới, khách hàng còn lo về hậu mãi và giá trị bán lại. Chưa đủ dữ liệu tính hệ số co giãn. VinFast nên hỗ trợ thanh toán có giới hạn, tránh giảm giá làm mất biên lợi nhuận.</w:t>
      </w:r>
    </w:p>
    <w:p>
      <w:pPr>
        <w:pStyle w:val="Heading1"/>
      </w:pPr>
      <w:r>
        <w:t>3 So sánh hai phương án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43"/>
        <w:gridCol w:w="3874"/>
        <w:gridCol w:w="4219"/>
      </w:tblGrid>
      <w:tr>
        <w:trPr>
          <w:cantSplit/>
          <w:tblHeader/>
        </w:trPr>
        <w:tc>
          <w:tcPr>
            <w:tcW w:type="dxa" w:w="1843"/>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Phương án</w:t>
            </w:r>
          </w:p>
        </w:tc>
        <w:tc>
          <w:tcPr>
            <w:tcW w:type="dxa" w:w="3874"/>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Ưu điểm</w:t>
            </w:r>
          </w:p>
        </w:tc>
        <w:tc>
          <w:tcPr>
            <w:tcW w:type="dxa" w:w="4219"/>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Nhược điểm và rủi ro</w:t>
            </w:r>
          </w:p>
        </w:tc>
      </w:tr>
      <w:tr>
        <w:trPr>
          <w:cantSplit/>
        </w:trPr>
        <w:tc>
          <w:tcPr>
            <w:tcW w:type="dxa" w:w="1843"/>
            <w:vAlign w:val="center"/>
            <w:tcMar>
              <w:top w:w="100" w:type="dxa"/>
              <w:left w:w="100" w:type="dxa"/>
              <w:bottom w:w="100" w:type="dxa"/>
              <w:right w:w="100" w:type="dxa"/>
            </w:tcMar>
          </w:tcPr>
          <w:p>
            <w:pPr>
              <w:keepNext w:val="0"/>
              <w:spacing w:after="0" w:line="250" w:lineRule="auto"/>
              <w:jc w:val="left"/>
            </w:pPr>
            <w:r>
              <w:rPr>
                <w:rFonts w:ascii="Times New Roman" w:hAnsi="Times New Roman"/>
                <w:b/>
                <w:color w:val="000000"/>
                <w:sz w:val="22"/>
              </w:rPr>
              <w:t>A  Đầu tư tại EU</w:t>
            </w:r>
          </w:p>
        </w:tc>
        <w:tc>
          <w:tcPr>
            <w:tcW w:type="dxa" w:w="387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Chủ động nghiên cứu, tái chế và kiểm soát tuân thủ lâu dài.</w:t>
            </w:r>
          </w:p>
        </w:tc>
        <w:tc>
          <w:tcPr>
            <w:tcW w:type="dxa" w:w="4219"/>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Vốn lớn, thời gian dài; nguy cơ thiếu pin thải. Không bảo đảm an toàn pháp lý tuyệt đối.</w:t>
            </w:r>
          </w:p>
        </w:tc>
      </w:tr>
      <w:tr>
        <w:trPr>
          <w:cantSplit/>
        </w:trPr>
        <w:tc>
          <w:tcPr>
            <w:tcW w:type="dxa" w:w="1843"/>
            <w:vAlign w:val="center"/>
            <w:tcMar>
              <w:top w:w="100" w:type="dxa"/>
              <w:left w:w="100" w:type="dxa"/>
              <w:bottom w:w="100" w:type="dxa"/>
              <w:right w:w="100" w:type="dxa"/>
            </w:tcMar>
          </w:tcPr>
          <w:p>
            <w:pPr>
              <w:keepNext w:val="0"/>
              <w:spacing w:after="0" w:line="250" w:lineRule="auto"/>
              <w:jc w:val="left"/>
            </w:pPr>
            <w:r>
              <w:rPr>
                <w:rFonts w:ascii="Times New Roman" w:hAnsi="Times New Roman"/>
                <w:b/>
                <w:color w:val="000000"/>
                <w:sz w:val="22"/>
              </w:rPr>
              <w:t>B  Thuê ngoài</w:t>
            </w:r>
          </w:p>
        </w:tc>
        <w:tc>
          <w:tcPr>
            <w:tcW w:type="dxa" w:w="387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Giữ sản xuất ở Việt Nam, thuê kiểm định tại Đức; ít vốn ban đầu, triển khai nhanh.</w:t>
            </w:r>
          </w:p>
        </w:tc>
        <w:tc>
          <w:tcPr>
            <w:tcW w:type="dxa" w:w="4219"/>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Phụ thuộc đối tác và dữ liệu chuỗi cung ứng; VinFast vẫn chịu trách nhiệm tuân thủ.</w:t>
            </w:r>
          </w:p>
        </w:tc>
      </w:tr>
    </w:tbl>
    <w:p>
      <w:pPr>
        <w:spacing w:after="20" w:before="0" w:line="240" w:lineRule="auto"/>
      </w:pPr>
      <w:r>
        <w:rPr>
          <w:sz w:val="4"/>
        </w:rPr>
      </w:r>
    </w:p>
    <w:p>
      <w:r>
        <w:rPr>
          <w:b/>
          <w:i w:val="0"/>
        </w:rPr>
        <w:t>Lựa chọn:</w:t>
      </w:r>
      <w:r>
        <w:rPr>
          <w:i w:val="0"/>
        </w:rPr>
        <w:t xml:space="preserve"> Ưu tiên B kèm giám sát nội bộ và hợp đồng thu hồi, tái chế. Cân nhắc A khi sản lượng, nguồn pin thải và hiệu quả tài chính đủ bảo đảm.</w:t>
      </w:r>
    </w:p>
    <w:p>
      <w:pPr>
        <w:pStyle w:val="Heading1"/>
      </w:pPr>
      <w:r>
        <w:t>4 Ma trận hành động trong ba năm</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930"/>
        <w:gridCol w:w="2678"/>
        <w:gridCol w:w="2664"/>
        <w:gridCol w:w="2664"/>
      </w:tblGrid>
      <w:tr>
        <w:trPr>
          <w:cantSplit/>
          <w:tblHeader/>
        </w:trPr>
        <w:tc>
          <w:tcPr>
            <w:tcW w:type="dxa" w:w="1930"/>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Nhóm giải pháp</w:t>
            </w:r>
          </w:p>
        </w:tc>
        <w:tc>
          <w:tcPr>
            <w:tcW w:type="dxa" w:w="2678"/>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Năm 1</w:t>
            </w:r>
          </w:p>
        </w:tc>
        <w:tc>
          <w:tcPr>
            <w:tcW w:type="dxa" w:w="2664"/>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Năm 2</w:t>
            </w:r>
          </w:p>
        </w:tc>
        <w:tc>
          <w:tcPr>
            <w:tcW w:type="dxa" w:w="2664"/>
            <w:vAlign w:val="center"/>
            <w:tcMar>
              <w:top w:w="100" w:type="dxa"/>
              <w:left w:w="100" w:type="dxa"/>
              <w:bottom w:w="100" w:type="dxa"/>
              <w:right w:w="100" w:type="dxa"/>
            </w:tcMar>
            <w:shd w:fill="E8EDF1"/>
          </w:tcPr>
          <w:p>
            <w:pPr>
              <w:keepNext w:val="0"/>
              <w:spacing w:after="0" w:line="250" w:lineRule="auto"/>
              <w:jc w:val="left"/>
            </w:pPr>
            <w:r>
              <w:rPr>
                <w:rFonts w:ascii="Times New Roman" w:hAnsi="Times New Roman"/>
                <w:b/>
                <w:color w:val="000000"/>
                <w:sz w:val="22"/>
              </w:rPr>
              <w:t>Năm 3</w:t>
            </w:r>
          </w:p>
        </w:tc>
      </w:tr>
      <w:tr>
        <w:trPr>
          <w:cantSplit/>
        </w:trPr>
        <w:tc>
          <w:tcPr>
            <w:tcW w:type="dxa" w:w="1930"/>
            <w:vAlign w:val="center"/>
            <w:tcMar>
              <w:top w:w="100" w:type="dxa"/>
              <w:left w:w="100" w:type="dxa"/>
              <w:bottom w:w="100" w:type="dxa"/>
              <w:right w:w="100" w:type="dxa"/>
            </w:tcMar>
          </w:tcPr>
          <w:p>
            <w:pPr>
              <w:keepNext w:val="0"/>
              <w:spacing w:after="0" w:line="250" w:lineRule="auto"/>
              <w:jc w:val="left"/>
            </w:pPr>
            <w:r>
              <w:rPr>
                <w:rFonts w:ascii="Times New Roman" w:hAnsi="Times New Roman"/>
                <w:b/>
                <w:color w:val="000000"/>
                <w:sz w:val="22"/>
              </w:rPr>
              <w:t>Kỹ thuật và pháp lý</w:t>
            </w:r>
          </w:p>
        </w:tc>
        <w:tc>
          <w:tcPr>
            <w:tcW w:type="dxa" w:w="2678"/>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100% pin đủ hồ sơ; bảo vệ dữ liệu, ký đối tác tái chế.</w:t>
            </w:r>
          </w:p>
        </w:tc>
        <w:tc>
          <w:tcPr>
            <w:tcW w:type="dxa" w:w="266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Kiểm toán nhà cung cấp; nghiên cứu đầu tư tại EU.</w:t>
            </w:r>
          </w:p>
        </w:tc>
        <w:tc>
          <w:tcPr>
            <w:tcW w:type="dxa" w:w="266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Đầu tư từng bước nếu khả thi; duy trì giám sát.</w:t>
            </w:r>
          </w:p>
        </w:tc>
      </w:tr>
      <w:tr>
        <w:trPr>
          <w:cantSplit/>
        </w:trPr>
        <w:tc>
          <w:tcPr>
            <w:tcW w:type="dxa" w:w="1930"/>
            <w:vAlign w:val="center"/>
            <w:tcMar>
              <w:top w:w="100" w:type="dxa"/>
              <w:left w:w="100" w:type="dxa"/>
              <w:bottom w:w="100" w:type="dxa"/>
              <w:right w:w="100" w:type="dxa"/>
            </w:tcMar>
          </w:tcPr>
          <w:p>
            <w:pPr>
              <w:keepNext w:val="0"/>
              <w:spacing w:after="0" w:line="250" w:lineRule="auto"/>
              <w:jc w:val="left"/>
            </w:pPr>
            <w:r>
              <w:rPr>
                <w:rFonts w:ascii="Times New Roman" w:hAnsi="Times New Roman"/>
                <w:b/>
                <w:color w:val="000000"/>
                <w:sz w:val="22"/>
              </w:rPr>
              <w:t>Kinh doanh và tài chính</w:t>
            </w:r>
          </w:p>
        </w:tc>
        <w:tc>
          <w:tcPr>
            <w:tcW w:type="dxa" w:w="2678"/>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Thử nghiệm thuê xe và hỗ trợ lãi suất.</w:t>
            </w:r>
          </w:p>
        </w:tc>
        <w:tc>
          <w:tcPr>
            <w:tcW w:type="dxa" w:w="266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Mở rộng gói hiệu quả; kiểm soát chi phí.</w:t>
            </w:r>
          </w:p>
        </w:tc>
        <w:tc>
          <w:tcPr>
            <w:tcW w:type="dxa" w:w="266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Nhân rộng mô hình có lợi nhuận.</w:t>
            </w:r>
          </w:p>
        </w:tc>
      </w:tr>
      <w:tr>
        <w:trPr>
          <w:cantSplit/>
        </w:trPr>
        <w:tc>
          <w:tcPr>
            <w:tcW w:type="dxa" w:w="1930"/>
            <w:vAlign w:val="center"/>
            <w:tcMar>
              <w:top w:w="100" w:type="dxa"/>
              <w:left w:w="100" w:type="dxa"/>
              <w:bottom w:w="100" w:type="dxa"/>
              <w:right w:w="100" w:type="dxa"/>
            </w:tcMar>
          </w:tcPr>
          <w:p>
            <w:pPr>
              <w:keepNext w:val="0"/>
              <w:spacing w:after="0" w:line="250" w:lineRule="auto"/>
              <w:jc w:val="left"/>
            </w:pPr>
            <w:r>
              <w:rPr>
                <w:rFonts w:ascii="Times New Roman" w:hAnsi="Times New Roman"/>
                <w:b/>
                <w:color w:val="000000"/>
                <w:sz w:val="22"/>
              </w:rPr>
              <w:t>Định vị sản phẩm</w:t>
            </w:r>
          </w:p>
        </w:tc>
        <w:tc>
          <w:tcPr>
            <w:tcW w:type="dxa" w:w="2678"/>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Nhấn mạnh an toàn, minh bạch chi phí.</w:t>
            </w:r>
          </w:p>
        </w:tc>
        <w:tc>
          <w:tcPr>
            <w:tcW w:type="dxa" w:w="266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Tăng dịch vụ, phụ tùng và lái thử.</w:t>
            </w:r>
          </w:p>
        </w:tc>
        <w:tc>
          <w:tcPr>
            <w:tcW w:type="dxa" w:w="2664"/>
            <w:vAlign w:val="center"/>
            <w:tcMar>
              <w:top w:w="100" w:type="dxa"/>
              <w:left w:w="100" w:type="dxa"/>
              <w:bottom w:w="100" w:type="dxa"/>
              <w:right w:w="100" w:type="dxa"/>
            </w:tcMar>
          </w:tcPr>
          <w:p>
            <w:pPr>
              <w:keepNext w:val="0"/>
              <w:spacing w:after="0" w:line="250" w:lineRule="auto"/>
              <w:jc w:val="left"/>
            </w:pPr>
            <w:r>
              <w:rPr>
                <w:rFonts w:ascii="Times New Roman" w:hAnsi="Times New Roman"/>
                <w:color w:val="000000"/>
                <w:sz w:val="22"/>
              </w:rPr>
              <w:t>Mở rộng EU gắn với chất lượng hậu mãi.</w:t>
            </w:r>
          </w:p>
        </w:tc>
      </w:tr>
    </w:tbl>
    <w:p>
      <w:pPr>
        <w:spacing w:after="20" w:before="0" w:line="240" w:lineRule="auto"/>
      </w:pPr>
      <w:r>
        <w:rPr>
          <w:sz w:val="4"/>
        </w:rPr>
      </w:r>
    </w:p>
    <w:sectPr w:rsidR="00FC693F" w:rsidRPr="0006063C" w:rsidSect="00034616">
      <w:pgSz w:w="12240" w:h="15840"/>
      <w:pgMar w:top="1008" w:right="1152" w:bottom="1008" w:left="1152"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7" w:lineRule="auto" w:after="80"/>
    </w:pPr>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PESTEL của VinFast tại Đức</dc:title>
  <dc:subject>Phân tích ngắn gọn bốn nhiệm vụ và kế hoạch ba năm</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