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ACFBD" w14:textId="77777777" w:rsidR="0089391C" w:rsidRDefault="00000000">
      <w:pPr>
        <w:pStyle w:val="Title"/>
        <w:jc w:val="center"/>
      </w:pPr>
      <w:r>
        <w:t>Phân tích ma trận EFE xuất khẩu</w:t>
      </w:r>
      <w:r>
        <w:br/>
        <w:t>Tổng công ty May 10</w:t>
      </w:r>
    </w:p>
    <w:p w14:paraId="47B94C56" w14:textId="77777777" w:rsidR="0089391C" w:rsidRDefault="00000000">
      <w:pPr>
        <w:pStyle w:val="Heading1"/>
      </w:pPr>
      <w:r>
        <w:t>1 Kiểm tra và giải nghĩa ma trận EFE</w:t>
      </w:r>
    </w:p>
    <w:p w14:paraId="2AB24E71" w14:textId="77777777" w:rsidR="0089391C" w:rsidRDefault="00000000">
      <w:pPr>
        <w:spacing w:after="120"/>
      </w:pPr>
      <w:r>
        <w:t>Điểm có trọng số = Trọng số × Điểm phân loại. Tổng EFE bằng tổng điểm có trọng số của tất cả yếu tố.</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328"/>
        <w:gridCol w:w="1008"/>
        <w:gridCol w:w="1080"/>
        <w:gridCol w:w="2664"/>
      </w:tblGrid>
      <w:tr w:rsidR="0089391C" w14:paraId="1670BCBC" w14:textId="77777777">
        <w:trPr>
          <w:cantSplit/>
          <w:tblHeader/>
          <w:jc w:val="center"/>
        </w:trPr>
        <w:tc>
          <w:tcPr>
            <w:tcW w:w="5328" w:type="dxa"/>
            <w:shd w:val="clear" w:color="auto" w:fill="E8EDF2"/>
            <w:tcMar>
              <w:top w:w="65" w:type="dxa"/>
              <w:left w:w="95" w:type="dxa"/>
              <w:bottom w:w="65" w:type="dxa"/>
              <w:right w:w="95" w:type="dxa"/>
            </w:tcMar>
            <w:vAlign w:val="center"/>
          </w:tcPr>
          <w:p w14:paraId="15781EAB" w14:textId="77777777" w:rsidR="0089391C" w:rsidRDefault="00000000">
            <w:pPr>
              <w:spacing w:after="0" w:line="245" w:lineRule="auto"/>
            </w:pPr>
            <w:r>
              <w:rPr>
                <w:b/>
                <w:sz w:val="22"/>
              </w:rPr>
              <w:t>Yếu tố bên ngoài</w:t>
            </w:r>
          </w:p>
        </w:tc>
        <w:tc>
          <w:tcPr>
            <w:tcW w:w="1008" w:type="dxa"/>
            <w:shd w:val="clear" w:color="auto" w:fill="E8EDF2"/>
            <w:tcMar>
              <w:top w:w="65" w:type="dxa"/>
              <w:left w:w="95" w:type="dxa"/>
              <w:bottom w:w="65" w:type="dxa"/>
              <w:right w:w="95" w:type="dxa"/>
            </w:tcMar>
            <w:vAlign w:val="center"/>
          </w:tcPr>
          <w:p w14:paraId="3C3D42E3" w14:textId="77777777" w:rsidR="0089391C" w:rsidRDefault="00000000">
            <w:pPr>
              <w:spacing w:after="0" w:line="245" w:lineRule="auto"/>
              <w:jc w:val="center"/>
            </w:pPr>
            <w:r>
              <w:rPr>
                <w:b/>
                <w:sz w:val="22"/>
              </w:rPr>
              <w:t>Trọng số</w:t>
            </w:r>
          </w:p>
        </w:tc>
        <w:tc>
          <w:tcPr>
            <w:tcW w:w="1080" w:type="dxa"/>
            <w:shd w:val="clear" w:color="auto" w:fill="E8EDF2"/>
            <w:tcMar>
              <w:top w:w="65" w:type="dxa"/>
              <w:left w:w="95" w:type="dxa"/>
              <w:bottom w:w="65" w:type="dxa"/>
              <w:right w:w="95" w:type="dxa"/>
            </w:tcMar>
            <w:vAlign w:val="center"/>
          </w:tcPr>
          <w:p w14:paraId="153BE438" w14:textId="77777777" w:rsidR="0089391C" w:rsidRDefault="00000000">
            <w:pPr>
              <w:spacing w:after="0" w:line="245" w:lineRule="auto"/>
              <w:jc w:val="center"/>
            </w:pPr>
            <w:r>
              <w:rPr>
                <w:b/>
                <w:sz w:val="22"/>
              </w:rPr>
              <w:t>Phân loại</w:t>
            </w:r>
          </w:p>
        </w:tc>
        <w:tc>
          <w:tcPr>
            <w:tcW w:w="2664" w:type="dxa"/>
            <w:shd w:val="clear" w:color="auto" w:fill="E8EDF2"/>
            <w:tcMar>
              <w:top w:w="65" w:type="dxa"/>
              <w:left w:w="95" w:type="dxa"/>
              <w:bottom w:w="65" w:type="dxa"/>
              <w:right w:w="95" w:type="dxa"/>
            </w:tcMar>
            <w:vAlign w:val="center"/>
          </w:tcPr>
          <w:p w14:paraId="35AF0572" w14:textId="77777777" w:rsidR="0089391C" w:rsidRDefault="00000000">
            <w:pPr>
              <w:spacing w:after="0" w:line="245" w:lineRule="auto"/>
              <w:jc w:val="center"/>
            </w:pPr>
            <w:r>
              <w:rPr>
                <w:b/>
                <w:sz w:val="22"/>
              </w:rPr>
              <w:t>Điểm có trọng số</w:t>
            </w:r>
          </w:p>
        </w:tc>
      </w:tr>
      <w:tr w:rsidR="0089391C" w14:paraId="53556494" w14:textId="77777777">
        <w:trPr>
          <w:cantSplit/>
          <w:jc w:val="center"/>
        </w:trPr>
        <w:tc>
          <w:tcPr>
            <w:tcW w:w="5328" w:type="dxa"/>
            <w:tcMar>
              <w:top w:w="65" w:type="dxa"/>
              <w:left w:w="95" w:type="dxa"/>
              <w:bottom w:w="65" w:type="dxa"/>
              <w:right w:w="95" w:type="dxa"/>
            </w:tcMar>
            <w:vAlign w:val="center"/>
          </w:tcPr>
          <w:p w14:paraId="7E05355C" w14:textId="77777777" w:rsidR="0089391C" w:rsidRDefault="00000000">
            <w:pPr>
              <w:spacing w:after="0" w:line="245" w:lineRule="auto"/>
            </w:pPr>
            <w:r>
              <w:rPr>
                <w:sz w:val="22"/>
              </w:rPr>
              <w:t>O1 Nhu cầu hàng may mặc cao cấp tại Mỹ hồi phục</w:t>
            </w:r>
          </w:p>
        </w:tc>
        <w:tc>
          <w:tcPr>
            <w:tcW w:w="1008" w:type="dxa"/>
            <w:tcMar>
              <w:top w:w="65" w:type="dxa"/>
              <w:left w:w="95" w:type="dxa"/>
              <w:bottom w:w="65" w:type="dxa"/>
              <w:right w:w="95" w:type="dxa"/>
            </w:tcMar>
            <w:vAlign w:val="center"/>
          </w:tcPr>
          <w:p w14:paraId="28DD0C0D" w14:textId="77777777" w:rsidR="0089391C" w:rsidRDefault="00000000">
            <w:pPr>
              <w:spacing w:after="0" w:line="245" w:lineRule="auto"/>
              <w:jc w:val="center"/>
            </w:pPr>
            <w:r>
              <w:rPr>
                <w:sz w:val="22"/>
              </w:rPr>
              <w:t>0,20</w:t>
            </w:r>
          </w:p>
        </w:tc>
        <w:tc>
          <w:tcPr>
            <w:tcW w:w="1080" w:type="dxa"/>
            <w:tcMar>
              <w:top w:w="65" w:type="dxa"/>
              <w:left w:w="95" w:type="dxa"/>
              <w:bottom w:w="65" w:type="dxa"/>
              <w:right w:w="95" w:type="dxa"/>
            </w:tcMar>
            <w:vAlign w:val="center"/>
          </w:tcPr>
          <w:p w14:paraId="43240B57" w14:textId="77777777" w:rsidR="0089391C" w:rsidRDefault="00000000">
            <w:pPr>
              <w:spacing w:after="0" w:line="245" w:lineRule="auto"/>
              <w:jc w:val="center"/>
            </w:pPr>
            <w:r>
              <w:rPr>
                <w:sz w:val="22"/>
              </w:rPr>
              <w:t>3</w:t>
            </w:r>
          </w:p>
        </w:tc>
        <w:tc>
          <w:tcPr>
            <w:tcW w:w="2664" w:type="dxa"/>
            <w:tcMar>
              <w:top w:w="65" w:type="dxa"/>
              <w:left w:w="95" w:type="dxa"/>
              <w:bottom w:w="65" w:type="dxa"/>
              <w:right w:w="95" w:type="dxa"/>
            </w:tcMar>
            <w:vAlign w:val="center"/>
          </w:tcPr>
          <w:p w14:paraId="58D3E06C" w14:textId="77777777" w:rsidR="0089391C" w:rsidRDefault="00000000">
            <w:pPr>
              <w:spacing w:after="0" w:line="245" w:lineRule="auto"/>
              <w:jc w:val="center"/>
            </w:pPr>
            <w:r>
              <w:rPr>
                <w:sz w:val="22"/>
              </w:rPr>
              <w:t>0,20 × 3 = 0,60</w:t>
            </w:r>
          </w:p>
        </w:tc>
      </w:tr>
      <w:tr w:rsidR="0089391C" w14:paraId="028A8136" w14:textId="77777777">
        <w:trPr>
          <w:cantSplit/>
          <w:jc w:val="center"/>
        </w:trPr>
        <w:tc>
          <w:tcPr>
            <w:tcW w:w="5328" w:type="dxa"/>
            <w:tcMar>
              <w:top w:w="65" w:type="dxa"/>
              <w:left w:w="95" w:type="dxa"/>
              <w:bottom w:w="65" w:type="dxa"/>
              <w:right w:w="95" w:type="dxa"/>
            </w:tcMar>
            <w:vAlign w:val="center"/>
          </w:tcPr>
          <w:p w14:paraId="0E005756" w14:textId="77777777" w:rsidR="0089391C" w:rsidRDefault="00000000">
            <w:pPr>
              <w:spacing w:after="0" w:line="245" w:lineRule="auto"/>
            </w:pPr>
            <w:r>
              <w:rPr>
                <w:sz w:val="22"/>
              </w:rPr>
              <w:t>O2 Dịch chuyển chuỗi cung ứng khỏi Trung Quốc</w:t>
            </w:r>
          </w:p>
        </w:tc>
        <w:tc>
          <w:tcPr>
            <w:tcW w:w="1008" w:type="dxa"/>
            <w:tcMar>
              <w:top w:w="65" w:type="dxa"/>
              <w:left w:w="95" w:type="dxa"/>
              <w:bottom w:w="65" w:type="dxa"/>
              <w:right w:w="95" w:type="dxa"/>
            </w:tcMar>
            <w:vAlign w:val="center"/>
          </w:tcPr>
          <w:p w14:paraId="3E23425A" w14:textId="77777777" w:rsidR="0089391C" w:rsidRDefault="00000000">
            <w:pPr>
              <w:spacing w:after="0" w:line="245" w:lineRule="auto"/>
              <w:jc w:val="center"/>
            </w:pPr>
            <w:r>
              <w:rPr>
                <w:sz w:val="22"/>
              </w:rPr>
              <w:t>0,15</w:t>
            </w:r>
          </w:p>
        </w:tc>
        <w:tc>
          <w:tcPr>
            <w:tcW w:w="1080" w:type="dxa"/>
            <w:tcMar>
              <w:top w:w="65" w:type="dxa"/>
              <w:left w:w="95" w:type="dxa"/>
              <w:bottom w:w="65" w:type="dxa"/>
              <w:right w:w="95" w:type="dxa"/>
            </w:tcMar>
            <w:vAlign w:val="center"/>
          </w:tcPr>
          <w:p w14:paraId="69B554CE" w14:textId="77777777" w:rsidR="0089391C" w:rsidRDefault="00000000">
            <w:pPr>
              <w:spacing w:after="0" w:line="245" w:lineRule="auto"/>
              <w:jc w:val="center"/>
            </w:pPr>
            <w:r>
              <w:rPr>
                <w:sz w:val="22"/>
              </w:rPr>
              <w:t>3</w:t>
            </w:r>
          </w:p>
        </w:tc>
        <w:tc>
          <w:tcPr>
            <w:tcW w:w="2664" w:type="dxa"/>
            <w:tcMar>
              <w:top w:w="65" w:type="dxa"/>
              <w:left w:w="95" w:type="dxa"/>
              <w:bottom w:w="65" w:type="dxa"/>
              <w:right w:w="95" w:type="dxa"/>
            </w:tcMar>
            <w:vAlign w:val="center"/>
          </w:tcPr>
          <w:p w14:paraId="6C834211" w14:textId="77777777" w:rsidR="0089391C" w:rsidRDefault="00000000">
            <w:pPr>
              <w:spacing w:after="0" w:line="245" w:lineRule="auto"/>
              <w:jc w:val="center"/>
            </w:pPr>
            <w:r>
              <w:rPr>
                <w:sz w:val="22"/>
              </w:rPr>
              <w:t>0,15 × 3 = 0,45</w:t>
            </w:r>
          </w:p>
        </w:tc>
      </w:tr>
      <w:tr w:rsidR="0089391C" w14:paraId="24188CB2" w14:textId="77777777">
        <w:trPr>
          <w:cantSplit/>
          <w:jc w:val="center"/>
        </w:trPr>
        <w:tc>
          <w:tcPr>
            <w:tcW w:w="5328" w:type="dxa"/>
            <w:tcMar>
              <w:top w:w="65" w:type="dxa"/>
              <w:left w:w="95" w:type="dxa"/>
              <w:bottom w:w="65" w:type="dxa"/>
              <w:right w:w="95" w:type="dxa"/>
            </w:tcMar>
            <w:vAlign w:val="center"/>
          </w:tcPr>
          <w:p w14:paraId="168BB1D6" w14:textId="77777777" w:rsidR="0089391C" w:rsidRDefault="00000000">
            <w:pPr>
              <w:spacing w:after="0" w:line="245" w:lineRule="auto"/>
            </w:pPr>
            <w:r>
              <w:rPr>
                <w:sz w:val="22"/>
              </w:rPr>
              <w:t>T1 Mỹ áp thuế chống bán phá giá và kiểm tra xuất xứ sợi vải</w:t>
            </w:r>
          </w:p>
        </w:tc>
        <w:tc>
          <w:tcPr>
            <w:tcW w:w="1008" w:type="dxa"/>
            <w:tcMar>
              <w:top w:w="65" w:type="dxa"/>
              <w:left w:w="95" w:type="dxa"/>
              <w:bottom w:w="65" w:type="dxa"/>
              <w:right w:w="95" w:type="dxa"/>
            </w:tcMar>
            <w:vAlign w:val="center"/>
          </w:tcPr>
          <w:p w14:paraId="08322196" w14:textId="77777777" w:rsidR="0089391C" w:rsidRDefault="00000000">
            <w:pPr>
              <w:spacing w:after="0" w:line="245" w:lineRule="auto"/>
              <w:jc w:val="center"/>
            </w:pPr>
            <w:r>
              <w:rPr>
                <w:sz w:val="22"/>
              </w:rPr>
              <w:t>0,40</w:t>
            </w:r>
          </w:p>
        </w:tc>
        <w:tc>
          <w:tcPr>
            <w:tcW w:w="1080" w:type="dxa"/>
            <w:tcMar>
              <w:top w:w="65" w:type="dxa"/>
              <w:left w:w="95" w:type="dxa"/>
              <w:bottom w:w="65" w:type="dxa"/>
              <w:right w:w="95" w:type="dxa"/>
            </w:tcMar>
            <w:vAlign w:val="center"/>
          </w:tcPr>
          <w:p w14:paraId="063F1C83" w14:textId="77777777" w:rsidR="0089391C" w:rsidRDefault="00000000">
            <w:pPr>
              <w:spacing w:after="0" w:line="245" w:lineRule="auto"/>
              <w:jc w:val="center"/>
            </w:pPr>
            <w:r>
              <w:rPr>
                <w:sz w:val="22"/>
              </w:rPr>
              <w:t>1</w:t>
            </w:r>
          </w:p>
        </w:tc>
        <w:tc>
          <w:tcPr>
            <w:tcW w:w="2664" w:type="dxa"/>
            <w:tcMar>
              <w:top w:w="65" w:type="dxa"/>
              <w:left w:w="95" w:type="dxa"/>
              <w:bottom w:w="65" w:type="dxa"/>
              <w:right w:w="95" w:type="dxa"/>
            </w:tcMar>
            <w:vAlign w:val="center"/>
          </w:tcPr>
          <w:p w14:paraId="3E3576BA" w14:textId="77777777" w:rsidR="0089391C" w:rsidRDefault="00000000">
            <w:pPr>
              <w:spacing w:after="0" w:line="245" w:lineRule="auto"/>
              <w:jc w:val="center"/>
            </w:pPr>
            <w:r>
              <w:rPr>
                <w:sz w:val="22"/>
              </w:rPr>
              <w:t>0,40 × 1 = 0,40</w:t>
            </w:r>
          </w:p>
        </w:tc>
      </w:tr>
      <w:tr w:rsidR="0089391C" w14:paraId="788FDD96" w14:textId="77777777">
        <w:trPr>
          <w:cantSplit/>
          <w:jc w:val="center"/>
        </w:trPr>
        <w:tc>
          <w:tcPr>
            <w:tcW w:w="5328" w:type="dxa"/>
            <w:tcMar>
              <w:top w:w="65" w:type="dxa"/>
              <w:left w:w="95" w:type="dxa"/>
              <w:bottom w:w="65" w:type="dxa"/>
              <w:right w:w="95" w:type="dxa"/>
            </w:tcMar>
            <w:vAlign w:val="center"/>
          </w:tcPr>
          <w:p w14:paraId="5CDA5B4F" w14:textId="77777777" w:rsidR="0089391C" w:rsidRDefault="00000000">
            <w:pPr>
              <w:spacing w:after="0" w:line="245" w:lineRule="auto"/>
            </w:pPr>
            <w:r>
              <w:rPr>
                <w:sz w:val="22"/>
              </w:rPr>
              <w:t>T2 Yêu cầu ESG và giảm phát thải carbon</w:t>
            </w:r>
          </w:p>
        </w:tc>
        <w:tc>
          <w:tcPr>
            <w:tcW w:w="1008" w:type="dxa"/>
            <w:tcMar>
              <w:top w:w="65" w:type="dxa"/>
              <w:left w:w="95" w:type="dxa"/>
              <w:bottom w:w="65" w:type="dxa"/>
              <w:right w:w="95" w:type="dxa"/>
            </w:tcMar>
            <w:vAlign w:val="center"/>
          </w:tcPr>
          <w:p w14:paraId="3FEDCCF3" w14:textId="77777777" w:rsidR="0089391C" w:rsidRDefault="00000000">
            <w:pPr>
              <w:spacing w:after="0" w:line="245" w:lineRule="auto"/>
              <w:jc w:val="center"/>
            </w:pPr>
            <w:r>
              <w:rPr>
                <w:sz w:val="22"/>
              </w:rPr>
              <w:t>0,15</w:t>
            </w:r>
          </w:p>
        </w:tc>
        <w:tc>
          <w:tcPr>
            <w:tcW w:w="1080" w:type="dxa"/>
            <w:tcMar>
              <w:top w:w="65" w:type="dxa"/>
              <w:left w:w="95" w:type="dxa"/>
              <w:bottom w:w="65" w:type="dxa"/>
              <w:right w:w="95" w:type="dxa"/>
            </w:tcMar>
            <w:vAlign w:val="center"/>
          </w:tcPr>
          <w:p w14:paraId="20DC6BA8" w14:textId="77777777" w:rsidR="0089391C" w:rsidRDefault="00000000">
            <w:pPr>
              <w:spacing w:after="0" w:line="245" w:lineRule="auto"/>
              <w:jc w:val="center"/>
            </w:pPr>
            <w:r>
              <w:rPr>
                <w:sz w:val="22"/>
              </w:rPr>
              <w:t>2</w:t>
            </w:r>
          </w:p>
        </w:tc>
        <w:tc>
          <w:tcPr>
            <w:tcW w:w="2664" w:type="dxa"/>
            <w:tcMar>
              <w:top w:w="65" w:type="dxa"/>
              <w:left w:w="95" w:type="dxa"/>
              <w:bottom w:w="65" w:type="dxa"/>
              <w:right w:w="95" w:type="dxa"/>
            </w:tcMar>
            <w:vAlign w:val="center"/>
          </w:tcPr>
          <w:p w14:paraId="431ADCA7" w14:textId="77777777" w:rsidR="0089391C" w:rsidRDefault="00000000">
            <w:pPr>
              <w:spacing w:after="0" w:line="245" w:lineRule="auto"/>
              <w:jc w:val="center"/>
            </w:pPr>
            <w:r>
              <w:rPr>
                <w:sz w:val="22"/>
              </w:rPr>
              <w:t>0,15 × 2 = 0,30</w:t>
            </w:r>
          </w:p>
        </w:tc>
      </w:tr>
      <w:tr w:rsidR="0089391C" w14:paraId="121B5807" w14:textId="77777777">
        <w:trPr>
          <w:cantSplit/>
          <w:jc w:val="center"/>
        </w:trPr>
        <w:tc>
          <w:tcPr>
            <w:tcW w:w="5328" w:type="dxa"/>
            <w:tcMar>
              <w:top w:w="65" w:type="dxa"/>
              <w:left w:w="95" w:type="dxa"/>
              <w:bottom w:w="65" w:type="dxa"/>
              <w:right w:w="95" w:type="dxa"/>
            </w:tcMar>
            <w:vAlign w:val="center"/>
          </w:tcPr>
          <w:p w14:paraId="4234CB6A" w14:textId="77777777" w:rsidR="0089391C" w:rsidRDefault="00000000">
            <w:pPr>
              <w:spacing w:after="0" w:line="245" w:lineRule="auto"/>
            </w:pPr>
            <w:r>
              <w:rPr>
                <w:sz w:val="22"/>
              </w:rPr>
              <w:t>T3 Biến động tỷ giá và tăng cước vận tải biển</w:t>
            </w:r>
          </w:p>
        </w:tc>
        <w:tc>
          <w:tcPr>
            <w:tcW w:w="1008" w:type="dxa"/>
            <w:tcMar>
              <w:top w:w="65" w:type="dxa"/>
              <w:left w:w="95" w:type="dxa"/>
              <w:bottom w:w="65" w:type="dxa"/>
              <w:right w:w="95" w:type="dxa"/>
            </w:tcMar>
            <w:vAlign w:val="center"/>
          </w:tcPr>
          <w:p w14:paraId="7E6C6803" w14:textId="77777777" w:rsidR="0089391C" w:rsidRDefault="00000000">
            <w:pPr>
              <w:spacing w:after="0" w:line="245" w:lineRule="auto"/>
              <w:jc w:val="center"/>
            </w:pPr>
            <w:r>
              <w:rPr>
                <w:sz w:val="22"/>
              </w:rPr>
              <w:t>0,10</w:t>
            </w:r>
          </w:p>
        </w:tc>
        <w:tc>
          <w:tcPr>
            <w:tcW w:w="1080" w:type="dxa"/>
            <w:tcMar>
              <w:top w:w="65" w:type="dxa"/>
              <w:left w:w="95" w:type="dxa"/>
              <w:bottom w:w="65" w:type="dxa"/>
              <w:right w:w="95" w:type="dxa"/>
            </w:tcMar>
            <w:vAlign w:val="center"/>
          </w:tcPr>
          <w:p w14:paraId="1FDF385F" w14:textId="77777777" w:rsidR="0089391C" w:rsidRDefault="00000000">
            <w:pPr>
              <w:spacing w:after="0" w:line="245" w:lineRule="auto"/>
              <w:jc w:val="center"/>
            </w:pPr>
            <w:r>
              <w:rPr>
                <w:sz w:val="22"/>
              </w:rPr>
              <w:t>2</w:t>
            </w:r>
          </w:p>
        </w:tc>
        <w:tc>
          <w:tcPr>
            <w:tcW w:w="2664" w:type="dxa"/>
            <w:tcMar>
              <w:top w:w="65" w:type="dxa"/>
              <w:left w:w="95" w:type="dxa"/>
              <w:bottom w:w="65" w:type="dxa"/>
              <w:right w:w="95" w:type="dxa"/>
            </w:tcMar>
            <w:vAlign w:val="center"/>
          </w:tcPr>
          <w:p w14:paraId="518262F6" w14:textId="77777777" w:rsidR="0089391C" w:rsidRDefault="00000000">
            <w:pPr>
              <w:spacing w:after="0" w:line="245" w:lineRule="auto"/>
              <w:jc w:val="center"/>
            </w:pPr>
            <w:r>
              <w:rPr>
                <w:sz w:val="22"/>
              </w:rPr>
              <w:t>0,10 × 2 = 0,20</w:t>
            </w:r>
          </w:p>
        </w:tc>
      </w:tr>
      <w:tr w:rsidR="0089391C" w14:paraId="13A8D78F" w14:textId="77777777">
        <w:trPr>
          <w:cantSplit/>
          <w:jc w:val="center"/>
        </w:trPr>
        <w:tc>
          <w:tcPr>
            <w:tcW w:w="5328" w:type="dxa"/>
            <w:shd w:val="clear" w:color="auto" w:fill="F4F5F6"/>
            <w:tcMar>
              <w:top w:w="65" w:type="dxa"/>
              <w:left w:w="95" w:type="dxa"/>
              <w:bottom w:w="65" w:type="dxa"/>
              <w:right w:w="95" w:type="dxa"/>
            </w:tcMar>
            <w:vAlign w:val="center"/>
          </w:tcPr>
          <w:p w14:paraId="3E0CC428" w14:textId="77777777" w:rsidR="0089391C" w:rsidRDefault="00000000">
            <w:pPr>
              <w:spacing w:after="0" w:line="245" w:lineRule="auto"/>
            </w:pPr>
            <w:r>
              <w:rPr>
                <w:b/>
                <w:sz w:val="22"/>
              </w:rPr>
              <w:t>Tổng cộng</w:t>
            </w:r>
          </w:p>
        </w:tc>
        <w:tc>
          <w:tcPr>
            <w:tcW w:w="1008" w:type="dxa"/>
            <w:shd w:val="clear" w:color="auto" w:fill="F4F5F6"/>
            <w:tcMar>
              <w:top w:w="65" w:type="dxa"/>
              <w:left w:w="95" w:type="dxa"/>
              <w:bottom w:w="65" w:type="dxa"/>
              <w:right w:w="95" w:type="dxa"/>
            </w:tcMar>
            <w:vAlign w:val="center"/>
          </w:tcPr>
          <w:p w14:paraId="0ACE148B" w14:textId="77777777" w:rsidR="0089391C" w:rsidRDefault="00000000">
            <w:pPr>
              <w:spacing w:after="0" w:line="245" w:lineRule="auto"/>
              <w:jc w:val="center"/>
            </w:pPr>
            <w:r>
              <w:rPr>
                <w:b/>
                <w:sz w:val="22"/>
              </w:rPr>
              <w:t>1,00</w:t>
            </w:r>
          </w:p>
        </w:tc>
        <w:tc>
          <w:tcPr>
            <w:tcW w:w="1080" w:type="dxa"/>
            <w:shd w:val="clear" w:color="auto" w:fill="F4F5F6"/>
            <w:tcMar>
              <w:top w:w="65" w:type="dxa"/>
              <w:left w:w="95" w:type="dxa"/>
              <w:bottom w:w="65" w:type="dxa"/>
              <w:right w:w="95" w:type="dxa"/>
            </w:tcMar>
            <w:vAlign w:val="center"/>
          </w:tcPr>
          <w:p w14:paraId="1EF6BC17" w14:textId="77777777" w:rsidR="0089391C" w:rsidRDefault="00000000">
            <w:pPr>
              <w:spacing w:after="0" w:line="245" w:lineRule="auto"/>
              <w:jc w:val="center"/>
            </w:pPr>
            <w:r>
              <w:rPr>
                <w:b/>
                <w:sz w:val="22"/>
              </w:rPr>
              <w:t>—</w:t>
            </w:r>
          </w:p>
        </w:tc>
        <w:tc>
          <w:tcPr>
            <w:tcW w:w="2664" w:type="dxa"/>
            <w:shd w:val="clear" w:color="auto" w:fill="F4F5F6"/>
            <w:tcMar>
              <w:top w:w="65" w:type="dxa"/>
              <w:left w:w="95" w:type="dxa"/>
              <w:bottom w:w="65" w:type="dxa"/>
              <w:right w:w="95" w:type="dxa"/>
            </w:tcMar>
            <w:vAlign w:val="center"/>
          </w:tcPr>
          <w:p w14:paraId="7A9A7C8B" w14:textId="77777777" w:rsidR="0089391C" w:rsidRDefault="00000000">
            <w:pPr>
              <w:spacing w:after="0" w:line="245" w:lineRule="auto"/>
              <w:jc w:val="center"/>
            </w:pPr>
            <w:r>
              <w:rPr>
                <w:b/>
                <w:sz w:val="22"/>
              </w:rPr>
              <w:t>1,95</w:t>
            </w:r>
          </w:p>
        </w:tc>
      </w:tr>
    </w:tbl>
    <w:p w14:paraId="4F62548D" w14:textId="77777777" w:rsidR="0089391C" w:rsidRDefault="00000000">
      <w:pPr>
        <w:keepLines/>
        <w:spacing w:before="100" w:after="120"/>
      </w:pPr>
      <m:oMathPara>
        <m:oMath>
          <m:r>
            <m:rPr>
              <m:sty m:val="p"/>
            </m:rPr>
            <w:rPr>
              <w:rFonts w:ascii="Cambria Math" w:hAnsi="Cambria Math"/>
              <w:sz w:val="23"/>
            </w:rPr>
            <m:t>EFE = 0,60 + 0,45 + 0,40 + 0,30 + 0,20 = 1,95</m:t>
          </m:r>
        </m:oMath>
      </m:oMathPara>
    </w:p>
    <w:p w14:paraId="0A5289A1" w14:textId="77777777" w:rsidR="0089391C" w:rsidRDefault="00000000">
      <w:r>
        <w:t>Kết quả đúng; tổng trọng số bằng 1,00. EFE 1,95 thấp hơn ngưỡng trung bình 2,50 là 0,55 điểm, cho thấy doanh nghiệp chưa ứng phó hiệu quả với môi trường bên ngoài. Mức tối đa 4,00 biểu thị phản ứng rất tốt; May 10 còn cách mức này 2,05 điểm.</w:t>
      </w:r>
    </w:p>
    <w:p w14:paraId="1B76A840" w14:textId="77777777" w:rsidR="0089391C" w:rsidRDefault="00000000">
      <w:pPr>
        <w:pStyle w:val="Heading1"/>
      </w:pPr>
      <w:r>
        <w:t>2 Nguyên nhân T1 có mức phản ứng thấp</w:t>
      </w:r>
    </w:p>
    <w:p w14:paraId="32217305" w14:textId="77777777" w:rsidR="0089391C" w:rsidRDefault="00000000">
      <w:r>
        <w:t>Trọng số 0,40 phản ánh tầm quan trọng lớn nhất của T1 vì May 10 phụ thuộc mạnh vào xuất khẩu và thị trường Mỹ. Thuế và kiểm tra xuất xứ có thể làm tăng chi phí, chậm giao hàng và mất đơn hàng; trọng số cao không có nghĩa doanh nghiệp phản ứng tốt.</w:t>
      </w:r>
    </w:p>
    <w:p w14:paraId="48466381" w14:textId="77777777" w:rsidR="0089391C" w:rsidRDefault="00000000">
      <w:r>
        <w:t>Điểm phân loại 1 phản ánh khả năng ứng phó yếu: 65% vải nhập từ đối tác ngoài khối theo đề bài, trong khi chưa tự chủ dệt nhuộm. Điểm nghẽn là thiếu chủ động nguồn sợi vải, khó đổi nhà cung cấp nhanh và kiểm soát hồ sơ xuất xứ xuyên suốt. Năng lực may tốt chưa giải quyết được điểm nghẽn ở đầu vào.</w:t>
      </w:r>
    </w:p>
    <w:p w14:paraId="4F6419CA" w14:textId="77777777" w:rsidR="0089391C" w:rsidRDefault="00000000">
      <w:r>
        <w:br w:type="page"/>
      </w:r>
    </w:p>
    <w:p w14:paraId="4E3E30A0" w14:textId="77777777" w:rsidR="0089391C" w:rsidRDefault="00000000">
      <w:pPr>
        <w:pStyle w:val="Heading1"/>
      </w:pPr>
      <w:r>
        <w:lastRenderedPageBreak/>
        <w:t>3 Đánh đổi giữa tăng trưởng và rào cản thương mại</w:t>
      </w:r>
    </w:p>
    <w:p w14:paraId="42DC4696" w14:textId="77777777" w:rsidR="0089391C" w:rsidRDefault="00000000">
      <w:r>
        <w:t>O1 đạt 0,60 điểm cho thấy May 10 khai thác khá tốt nhu cầu hồi phục, nhưng đây không phải thước đo lợi nhuận. Nếu thuế, chi phí chứng minh xuất xứ và giao hàng phát sinh vượt biên lợi nhuận, tăng đơn hàng vẫn có thể làm tổng lỗ tăng. Điểm cơ hội không trực tiếp bù chi phí của T1.</w:t>
      </w:r>
    </w:p>
    <w:p w14:paraId="178CC7E1" w14:textId="77777777" w:rsidR="0089391C" w:rsidRDefault="00000000">
      <w:r>
        <w:t>Ví dụ giả định: một đơn hàng có doanh thu 100, chi phí ban đầu 92 thì lãi 8. Nếu doanh nghiệp phải gánh thêm 12 chi phí do rào cản thương mại, kết quả chuyển thành lỗ 4. Vì vậy, cần kiểm soát đầu vào và tính lại hiệu quả từng đơn hàng trước khi mở rộng; chỉ tính lợi ích hiệp định thương mại khi xác nhận được điều kiện áp dụng cho thị trường đích.</w:t>
      </w:r>
    </w:p>
    <w:p w14:paraId="0EDCBEFC" w14:textId="77777777" w:rsidR="0089391C" w:rsidRDefault="00000000">
      <w:pPr>
        <w:pStyle w:val="Heading1"/>
      </w:pPr>
      <w:r>
        <w:t>4 Ba giải pháp trong 12 tháng</w:t>
      </w:r>
    </w:p>
    <w:p w14:paraId="45977E85" w14:textId="77777777" w:rsidR="0089391C" w:rsidRDefault="00000000">
      <w:r>
        <w:rPr>
          <w:b/>
        </w:rPr>
        <w:t xml:space="preserve">Giải pháp 1  Cơ cấu lại nguồn nguyên liệu. </w:t>
      </w:r>
      <w:r>
        <w:t>Tháng 1–3, rà soát nguồn sợi, vải và đánh giá nhà cung cấp; tháng 4–12, ký hợp đồng dài hạn với đối tác trong nước hoặc đối tác có xuất xứ đáp ứng yêu cầu. Mục tiêu đề xuất: ít nhất 2 nguồn vải thay thế đã được thẩm định, giảm tỷ lệ nhập từ nhóm đối tác hiện tại từ 65% xuống tối đa 40%. Bộ phận thu mua chủ trì; ưu tiên liên kết với năng lực dệt nhuộm sẵn có.</w:t>
      </w:r>
    </w:p>
    <w:p w14:paraId="5FDD9E43" w14:textId="77777777" w:rsidR="0089391C" w:rsidRDefault="00000000">
      <w:r>
        <w:rPr>
          <w:b/>
        </w:rPr>
        <w:t xml:space="preserve">Giải pháp 2  Tăng năng lực chứng minh xuất xứ. </w:t>
      </w:r>
      <w:r>
        <w:t>Tháng 1–6, bộ phận xuất nhập khẩu và pháp chế lập hồ sơ theo lô từ sợi đến thành phẩm, chuẩn hóa chứng từ nguồn gốc, giá thành và hợp đồng; tổ chức cảnh báo rủi ro thuế. Tháng 7–12, kiểm tra thử và khắc phục thiếu sót. Chỉ tiêu: 100% lô hàng đi Mỹ có hồ sơ truy xuất đầy đủ, được rà soát trước khi giao. Hai giải pháp đầu tạo cơ sở đề xuất nâng T1 từ 1 lên 3; không đồng nghĩa chắc chắn được miễn thuế.</w:t>
      </w:r>
    </w:p>
    <w:p w14:paraId="540D6A66" w14:textId="77777777" w:rsidR="0089391C" w:rsidRDefault="00000000">
      <w:r>
        <w:rPr>
          <w:b/>
        </w:rPr>
        <w:t xml:space="preserve">Giải pháp 3  Hoàn thiện thực hành ESG. </w:t>
      </w:r>
      <w:r>
        <w:t>Tháng 1–3, bộ phận sản xuất và phụ trách ESG xác lập mức tiêu thụ điện, phát thải và rà soát yêu cầu lao động; tháng 4–9, cải tiến thiết bị, tận dụng điện mặt trời và hoàn thiện hồ sơ chứng nhận năng lượng tái tạo phù hợp, gồm I-REC khi cần. Đến tháng 12, phấn đấu giảm ít nhất 10% điện năng trên một sản phẩm và hoàn thành đánh giá ESG theo yêu cầu khách hàng, làm căn cứ nâng T2 từ 2 lên 3.</w:t>
      </w:r>
    </w:p>
    <w:p w14:paraId="21B7A0C6" w14:textId="77777777" w:rsidR="0089391C" w:rsidRDefault="00000000">
      <w:r>
        <w:t>Giữ nguyên trọng số và điểm phân loại O1, O2, T3; khi đạt mục tiêu T1 = 3 và T2 = 3:</w:t>
      </w:r>
    </w:p>
    <w:p w14:paraId="1C9F9DFB" w14:textId="77777777" w:rsidR="0089391C" w:rsidRDefault="00000000">
      <w:pPr>
        <w:keepLines/>
        <w:spacing w:before="100" w:after="120"/>
      </w:pPr>
      <m:oMathPara>
        <m:oMath>
          <m:r>
            <m:rPr>
              <m:sty m:val="p"/>
            </m:rPr>
            <w:rPr>
              <w:rFonts w:ascii="Cambria Math" w:hAnsi="Cambria Math"/>
              <w:sz w:val="23"/>
            </w:rPr>
            <m:t>EFE mới = 0,60 + 0,45 + 0,40 × 3 + 0,15 × 3 + 0,20 = 2,90</m:t>
          </m:r>
        </m:oMath>
      </m:oMathPara>
    </w:p>
    <w:p w14:paraId="327C55B0" w14:textId="77777777" w:rsidR="0089391C" w:rsidRDefault="00000000">
      <w:r>
        <w:t>Tổng điểm tăng 0,95 và vượt ngưỡng 2,60. Đây là kết quả kỳ vọng có điều kiện; chỉ chấm lại điểm sau khi kiểm chứng kết quả thực hiện, ưu tiên xử lý T1 vì mỗi mức tăng của yếu tố này đóng góp 0,40 điểm EFE.</w:t>
      </w:r>
    </w:p>
    <w:p w14:paraId="66F020EB" w14:textId="77777777" w:rsidR="0089391C" w:rsidRDefault="00000000">
      <w:pPr>
        <w:spacing w:after="0"/>
      </w:pPr>
      <w:r>
        <w:rPr>
          <w:i/>
          <w:sz w:val="20"/>
        </w:rPr>
        <w:t>Nguồn số liệu: Đề bài MAN101_S03_L01_BTVN_PT_BT2. Các chỉ tiêu và ví dụ tài chính là đề xuất, giả định phục vụ học tập.</w:t>
      </w:r>
    </w:p>
    <w:sectPr w:rsidR="0089391C" w:rsidSect="00034616">
      <w:footerReference w:type="default" r:id="rId8"/>
      <w:pgSz w:w="12240" w:h="15840"/>
      <w:pgMar w:top="1008" w:right="1080" w:bottom="1008"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004B8E" w14:textId="77777777" w:rsidR="00CE5A64" w:rsidRDefault="00CE5A64">
      <w:pPr>
        <w:spacing w:after="0" w:line="240" w:lineRule="auto"/>
      </w:pPr>
      <w:r>
        <w:separator/>
      </w:r>
    </w:p>
  </w:endnote>
  <w:endnote w:type="continuationSeparator" w:id="0">
    <w:p w14:paraId="64293F23" w14:textId="77777777" w:rsidR="00CE5A64" w:rsidRDefault="00CE5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3ADF6" w14:textId="77777777" w:rsidR="0089391C" w:rsidRDefault="00000000">
    <w:pPr>
      <w:pStyle w:val="Footer"/>
      <w:jc w:val="right"/>
    </w:pPr>
    <w:r>
      <w:rPr>
        <w:sz w:val="20"/>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01596" w14:textId="77777777" w:rsidR="00CE5A64" w:rsidRDefault="00CE5A64">
      <w:pPr>
        <w:spacing w:after="0" w:line="240" w:lineRule="auto"/>
      </w:pPr>
      <w:r>
        <w:separator/>
      </w:r>
    </w:p>
  </w:footnote>
  <w:footnote w:type="continuationSeparator" w:id="0">
    <w:p w14:paraId="0B05E9D9" w14:textId="77777777" w:rsidR="00CE5A64" w:rsidRDefault="00CE5A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510934">
    <w:abstractNumId w:val="8"/>
  </w:num>
  <w:num w:numId="2" w16cid:durableId="44840506">
    <w:abstractNumId w:val="6"/>
  </w:num>
  <w:num w:numId="3" w16cid:durableId="804129613">
    <w:abstractNumId w:val="5"/>
  </w:num>
  <w:num w:numId="4" w16cid:durableId="1424833717">
    <w:abstractNumId w:val="4"/>
  </w:num>
  <w:num w:numId="5" w16cid:durableId="253245625">
    <w:abstractNumId w:val="7"/>
  </w:num>
  <w:num w:numId="6" w16cid:durableId="1000473072">
    <w:abstractNumId w:val="3"/>
  </w:num>
  <w:num w:numId="7" w16cid:durableId="980573436">
    <w:abstractNumId w:val="2"/>
  </w:num>
  <w:num w:numId="8" w16cid:durableId="1307124482">
    <w:abstractNumId w:val="1"/>
  </w:num>
  <w:num w:numId="9" w16cid:durableId="20016915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D1B"/>
    <w:rsid w:val="00326F90"/>
    <w:rsid w:val="0089391C"/>
    <w:rsid w:val="00940212"/>
    <w:rsid w:val="00AA1D8D"/>
    <w:rsid w:val="00B47730"/>
    <w:rsid w:val="00CB0664"/>
    <w:rsid w:val="00CE5A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3936D"/>
  <w14:defaultImageDpi w14:val="300"/>
  <w15:docId w15:val="{11F36B80-0C04-9543-890A-D3BDE716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ma trận EFE xuất khẩu tại Tổng công ty May 10</dc:title>
  <dc:subject>MAN101_S03_L01_BTVN_PT_BT2</dc:subject>
  <dc:creator>Lâm Quang Trọng</dc:creator>
  <cp:keywords>EFE, May 10, MAN101</cp:keywords>
  <dc:description>generated by python-docx</dc:description>
  <cp:lastModifiedBy>Trọng Lâm Quang</cp:lastModifiedBy>
  <cp:revision>2</cp:revision>
  <dcterms:created xsi:type="dcterms:W3CDTF">2013-12-23T23:15:00Z</dcterms:created>
  <dcterms:modified xsi:type="dcterms:W3CDTF">2026-10-28T10:11:00Z</dcterms:modified>
  <cp:category/>
</cp:coreProperties>
</file>