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5B939D" w14:textId="77777777" w:rsidR="005949FD" w:rsidRDefault="00000000">
      <w:pPr>
        <w:pStyle w:val="Title"/>
        <w:jc w:val="center"/>
      </w:pPr>
      <w:r>
        <w:t>Phân tích ma trận IFE của Cake by VPBank</w:t>
      </w:r>
    </w:p>
    <w:p w14:paraId="18D370E5" w14:textId="77777777" w:rsidR="005949FD" w:rsidRDefault="00000000">
      <w:r>
        <w:t>Cake đạt IFE 2,70 điểm, nhưng khả năng thu hút người dùng chưa chuyển hóa tương xứng thành số dư và lợi nhuận. Trọng tâm cải thiện là trở thành tài khoản giao dịch chính và phát triển sản phẩm theo vòng đời khách hàng.</w:t>
      </w:r>
    </w:p>
    <w:p w14:paraId="029EC229" w14:textId="77777777" w:rsidR="005949FD" w:rsidRDefault="00000000">
      <w:pPr>
        <w:pStyle w:val="Heading1"/>
      </w:pPr>
      <w:r>
        <w:t>1 Tính toán và đánh giá tổng điểm IFE</w:t>
      </w:r>
    </w:p>
    <w:p w14:paraId="1F8B3E84" w14:textId="77777777" w:rsidR="005949FD" w:rsidRDefault="00000000">
      <w:pPr>
        <w:jc w:val="center"/>
      </w:pPr>
      <m:oMathPara>
        <m:oMath>
          <m:r>
            <m:rPr>
              <m:sty m:val="p"/>
            </m:rPr>
            <w:rPr>
              <w:rFonts w:ascii="Cambria Math" w:hAnsi="Cambria Math"/>
            </w:rPr>
            <m:t>IFE = 0,35 × 4 + 0,15 × 4 + 0,30 × 1 + 0,20 × 2 = 2,70</m:t>
          </m:r>
        </m:oMath>
      </m:oMathPara>
    </w:p>
    <w:p w14:paraId="3BEA1A75" w14:textId="77777777" w:rsidR="005949FD" w:rsidRDefault="00000000">
      <w:r>
        <w:t>Tổng trọng số bằng 1,00 nên phép tính hợp lệ. Điểm 2,70 cao hơn mốc 2,50 là 0,20 điểm, cho thấy nội lực trên trung bình theo ma trận đã cho; đây chưa phải bằng chứng về hiệu quả kinh doanh cao.</w:t>
      </w:r>
    </w:p>
    <w:p w14:paraId="1F05D671" w14:textId="77777777" w:rsidR="005949FD" w:rsidRDefault="00000000">
      <w:r>
        <w:t>S1 và S2 tạo 2,00 điểm, trong khi W1 và W2 có tổng trọng số 0,50 nhưng chỉ tạo 0,70 điểm. Riêng S1 đóng góp gần 52% tổng điểm, khiến lợi thế trải nghiệm che lấp điểm yếu kiếm tiền. Nếu S1 giảm từ 4 xuống 3, tổng IFE còn 2,35. Cơ cấu này dễ tổn thương khi ưu thế ứng dụng bị đối thủ thu hẹp.</w:t>
      </w:r>
    </w:p>
    <w:p w14:paraId="3E008205" w14:textId="77777777" w:rsidR="005949FD" w:rsidRDefault="00000000">
      <w:pPr>
        <w:pStyle w:val="Heading1"/>
      </w:pPr>
      <w:r>
        <w:t>2 Vì sao nhiều người dùng nhưng doanh thu mỏng</w:t>
      </w:r>
    </w:p>
    <w:p w14:paraId="3488D2E8" w14:textId="77777777" w:rsidR="005949FD" w:rsidRDefault="00000000">
      <w:r>
        <w:t>Khuyến mãi thúc đẩy mở tài khoản nhưng ít tạo thói quen sử dụng. Người dùng có thể rút ưu đãi rồi ngừng giao dịch; vì vậy lượt tải và tài khoản đăng ký không phản ánh số khách hàng hoạt động có giá trị.</w:t>
      </w:r>
    </w:p>
    <w:p w14:paraId="000FE700" w14:textId="77777777" w:rsidR="005949FD" w:rsidRDefault="00000000">
      <w:r>
        <w:t>Khách hàng trẻ thường có thu nhập và tích lũy còn thấp. Nếu lương, hóa đơn và tiền dự phòng vẫn ở ngân hàng khác, Cake chỉ là tài khoản phụ. Số dư dưới 100.000 đồng ở hơn 65% tài khoản cho thấy mức gắn bó thấp; riêng chỉ tiêu này chưa đủ tính tỷ lệ CASA vì chưa có tổng tiền gửi.</w:t>
      </w:r>
    </w:p>
    <w:p w14:paraId="7D1DA0DF" w14:textId="77777777" w:rsidR="005949FD" w:rsidRDefault="00000000">
      <w:r>
        <w:t>Ứng dụng mượt giúp giảm trở ngại giao dịch nhưng không tự tạo nguồn thu. Danh mục sản phẩm hạn chế làm giảm khả năng bán chéo, trong khi chi phí thu hút, khuyến mãi, vận hành và phục vụ vẫn phát sinh. Do đó, ARPU thấp có thể khiến lợi nhuận trên khách hàng âm.</w:t>
      </w:r>
    </w:p>
    <w:p w14:paraId="74B17BDA" w14:textId="77777777" w:rsidR="005949FD" w:rsidRDefault="00000000">
      <w:pPr>
        <w:pStyle w:val="Heading1"/>
      </w:pPr>
      <w:r>
        <w:t>3 Chuyển đổi giá trị vòng đời khách hàng</w:t>
      </w:r>
    </w:p>
    <w:p w14:paraId="57E956CD" w14:textId="77777777" w:rsidR="005949FD" w:rsidRDefault="00000000">
      <w:r>
        <w:t>CLV là giá trị hiện tại của lợi nhuận kỳ vọng trong toàn bộ quan hệ khách hàng, sau chi phí thu hút, phục vụ và tổn thất tín dụng. Muốn tăng CLV, Cake cần kéo dài thời gian gắn bó và tăng lợi nhuận ròng trên mỗi khách hàng.</w:t>
      </w:r>
    </w:p>
    <w:p w14:paraId="2DB3D303" w14:textId="77777777" w:rsidR="005949FD" w:rsidRDefault="00000000">
      <w:r>
        <w:t>Khi còn đi học, dùng S1 để tạo thói quen thanh toán và tích lũy nhỏ. Khi bắt đầu đi làm, khuyến khích nhận lương, tự động trả hóa đơn và quản lý ngân sách. Khi dòng tiền ổn định, cung cấp tín dụng nhỏ phù hợp khả năng trả nợ. Khi có nhu cầu mua nhà hoặc xe, kết nối sản phẩm VPBank ngay trong ứng dụng, hỗ trợ hồ sơ và tư vấn xuyên suốt; việc cấp vay vẫn phải qua thẩm định.</w:t>
      </w:r>
    </w:p>
    <w:p w14:paraId="66B2DA14" w14:textId="77777777" w:rsidR="005949FD" w:rsidRDefault="00000000">
      <w:r>
        <w:t>Cá nhân hóa theo dữ liệu được khách hàng đồng ý sử dụng và phục vụ tốt giúp tăng giữ chân. Số dư không kỳ hạn duy trì ổn định giúp giảm chi phí vốn để cải thiện W1; bán chéo phù hợp mở rộng nguồn thu và xử lý W2.</w:t>
      </w:r>
    </w:p>
    <w:p w14:paraId="76650FBF" w14:textId="77777777" w:rsidR="005949FD" w:rsidRDefault="00000000">
      <w:pPr>
        <w:pStyle w:val="Heading1"/>
        <w:pageBreakBefore/>
      </w:pPr>
      <w:r>
        <w:lastRenderedPageBreak/>
        <w:t>4 Hai sản phẩm và mục tiêu sau 12 tháng</w:t>
      </w:r>
    </w:p>
    <w:p w14:paraId="1E1A1477" w14:textId="77777777" w:rsidR="005949FD" w:rsidRDefault="00000000">
      <w:pPr>
        <w:pStyle w:val="Heading2"/>
      </w:pPr>
      <w:r>
        <w:t>Sản phẩm 1 Túi tiền mục tiêu Cake</w:t>
      </w:r>
    </w:p>
    <w:p w14:paraId="698FD94B" w14:textId="77777777" w:rsidR="005949FD" w:rsidRDefault="00000000">
      <w:r>
        <w:t>Cho phép tự động làm tròn giao dịch và trích một khoản khi nhận lương vào các túi mục tiêu. Ví dụ, chi 47.000 đồng thì chuyển thêm 3.000 đồng vào túi dự phòng. Khách hàng tự chọn mức trích, hạn mức và có thể tắt bất cứ lúc nào.</w:t>
      </w:r>
    </w:p>
    <w:p w14:paraId="4E8FF7B3" w14:textId="77777777" w:rsidR="005949FD" w:rsidRDefault="00000000">
      <w:r>
        <w:t>Tiền trong túi vẫn thuộc tài khoản thanh toán không kỳ hạn, rút dùng ngay, nên có thể hỗ trợ CASA. Không tự động chuyển sang tiền gửi có kỳ hạn. Kết hợp nhắc hóa đơn và ưu đãi có giới hạn theo số dư bình quân để khuyến khích giữ tiền mà vẫn kiểm soát chi phí.</w:t>
      </w:r>
    </w:p>
    <w:p w14:paraId="041E659F" w14:textId="77777777" w:rsidR="005949FD" w:rsidRDefault="00000000">
      <w:pPr>
        <w:pStyle w:val="Heading2"/>
      </w:pPr>
      <w:r>
        <w:t>Sản phẩm 2 Thấu chi nhỏ theo dòng tiền</w:t>
      </w:r>
    </w:p>
    <w:p w14:paraId="1D2D4534" w14:textId="77777777" w:rsidR="005949FD" w:rsidRDefault="00000000">
      <w:r>
        <w:t>Đề xuất hạn mức thử nghiệm 1–5 triệu đồng cho khách hàng có dòng tiền đều trong 3–6 tháng. Xét duyệt kết hợp lịch sử giao dịch, thông tin tín dụng và khả năng trả nợ; không dựa riêng vào lượt dùng ứng dụng. Hiển thị rõ lãi, phí và lịch trả; thu nợ tự động theo thỏa thuận, tăng hạn mức sau các kỳ trả đúng hạn.</w:t>
      </w:r>
    </w:p>
    <w:p w14:paraId="6CC49775" w14:textId="77777777" w:rsidR="005949FD" w:rsidRDefault="00000000">
      <w:r>
        <w:t>Sản phẩm bổ sung nguồn thu tín dụng cho W2 và khuyến khích nhận lương qua Cake để cải thiện W1. Cần giới hạn nghĩa vụ trả nợ theo thu nhập, cảnh báo sớm quá hạn và không trích tiền vào túi mục tiêu từ hạn mức vay.</w:t>
      </w:r>
    </w:p>
    <w:p w14:paraId="4CF34CDA" w14:textId="77777777" w:rsidR="005949FD" w:rsidRDefault="00000000">
      <w:r>
        <w:rPr>
          <w:b/>
        </w:rPr>
        <w:t>Triển khai:</w:t>
      </w:r>
      <w:r>
        <w:t xml:space="preserve"> tháng 1–3 xác lập số liệu gốc và thử nghiệm; tháng 4–6 đánh giá số dư, giữ chân và rủi ro; tháng 7–12 mở rộng các nhóm có lợi nhuận đóng góp dương.</w:t>
      </w:r>
    </w:p>
    <w:p w14:paraId="2CD82FDF" w14:textId="77777777" w:rsidR="005949FD" w:rsidRDefault="00000000">
      <w:r>
        <w:rPr>
          <w:b/>
        </w:rPr>
        <w:t>Mục tiêu đề xuất sau 12 tháng, chưa phải kết quả thực tế:</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4824"/>
      </w:tblGrid>
      <w:tr w:rsidR="005949FD" w14:paraId="43A5F100" w14:textId="77777777">
        <w:trPr>
          <w:cantSplit/>
          <w:tblHeader/>
          <w:jc w:val="center"/>
        </w:trPr>
        <w:tc>
          <w:tcPr>
            <w:tcW w:w="5112" w:type="dxa"/>
            <w:shd w:val="clear" w:color="auto" w:fill="E7EBF0"/>
            <w:tcMar>
              <w:top w:w="75" w:type="dxa"/>
              <w:left w:w="95" w:type="dxa"/>
              <w:bottom w:w="75" w:type="dxa"/>
              <w:right w:w="95" w:type="dxa"/>
            </w:tcMar>
            <w:vAlign w:val="center"/>
          </w:tcPr>
          <w:p w14:paraId="7CB14E55" w14:textId="77777777" w:rsidR="005949FD" w:rsidRDefault="00000000">
            <w:pPr>
              <w:spacing w:after="0" w:line="240" w:lineRule="auto"/>
            </w:pPr>
            <w:r>
              <w:rPr>
                <w:b/>
                <w:sz w:val="22"/>
              </w:rPr>
              <w:t>Chỉ tiêu</w:t>
            </w:r>
          </w:p>
        </w:tc>
        <w:tc>
          <w:tcPr>
            <w:tcW w:w="4824" w:type="dxa"/>
            <w:shd w:val="clear" w:color="auto" w:fill="E7EBF0"/>
            <w:tcMar>
              <w:top w:w="75" w:type="dxa"/>
              <w:left w:w="95" w:type="dxa"/>
              <w:bottom w:w="75" w:type="dxa"/>
              <w:right w:w="95" w:type="dxa"/>
            </w:tcMar>
            <w:vAlign w:val="center"/>
          </w:tcPr>
          <w:p w14:paraId="3917084B" w14:textId="77777777" w:rsidR="005949FD" w:rsidRDefault="00000000">
            <w:pPr>
              <w:spacing w:after="0" w:line="240" w:lineRule="auto"/>
            </w:pPr>
            <w:r>
              <w:rPr>
                <w:b/>
                <w:sz w:val="22"/>
              </w:rPr>
              <w:t>Mục tiêu tháng 12</w:t>
            </w:r>
          </w:p>
        </w:tc>
      </w:tr>
      <w:tr w:rsidR="005949FD" w14:paraId="32CB80E9" w14:textId="77777777">
        <w:trPr>
          <w:cantSplit/>
          <w:jc w:val="center"/>
        </w:trPr>
        <w:tc>
          <w:tcPr>
            <w:tcW w:w="5112" w:type="dxa"/>
            <w:tcMar>
              <w:top w:w="75" w:type="dxa"/>
              <w:left w:w="95" w:type="dxa"/>
              <w:bottom w:w="75" w:type="dxa"/>
              <w:right w:w="95" w:type="dxa"/>
            </w:tcMar>
            <w:vAlign w:val="center"/>
          </w:tcPr>
          <w:p w14:paraId="501B58FA" w14:textId="77777777" w:rsidR="005949FD" w:rsidRDefault="00000000">
            <w:pPr>
              <w:spacing w:after="0" w:line="240" w:lineRule="auto"/>
            </w:pPr>
            <w:r>
              <w:rPr>
                <w:sz w:val="22"/>
              </w:rPr>
              <w:t>Tài khoản có số dư dưới 100.000 đồng</w:t>
            </w:r>
          </w:p>
        </w:tc>
        <w:tc>
          <w:tcPr>
            <w:tcW w:w="4824" w:type="dxa"/>
            <w:tcMar>
              <w:top w:w="75" w:type="dxa"/>
              <w:left w:w="95" w:type="dxa"/>
              <w:bottom w:w="75" w:type="dxa"/>
              <w:right w:w="95" w:type="dxa"/>
            </w:tcMar>
            <w:vAlign w:val="center"/>
          </w:tcPr>
          <w:p w14:paraId="44314FB4" w14:textId="77777777" w:rsidR="005949FD" w:rsidRDefault="00000000">
            <w:pPr>
              <w:spacing w:after="0" w:line="240" w:lineRule="auto"/>
            </w:pPr>
            <w:r>
              <w:rPr>
                <w:sz w:val="22"/>
              </w:rPr>
              <w:t>Giảm từ hơn 65% xuống tối đa 45%</w:t>
            </w:r>
          </w:p>
        </w:tc>
      </w:tr>
      <w:tr w:rsidR="005949FD" w14:paraId="517BB45B" w14:textId="77777777">
        <w:trPr>
          <w:cantSplit/>
          <w:jc w:val="center"/>
        </w:trPr>
        <w:tc>
          <w:tcPr>
            <w:tcW w:w="5112" w:type="dxa"/>
            <w:tcMar>
              <w:top w:w="75" w:type="dxa"/>
              <w:left w:w="95" w:type="dxa"/>
              <w:bottom w:w="75" w:type="dxa"/>
              <w:right w:w="95" w:type="dxa"/>
            </w:tcMar>
            <w:vAlign w:val="center"/>
          </w:tcPr>
          <w:p w14:paraId="441D404A" w14:textId="77777777" w:rsidR="005949FD" w:rsidRDefault="00000000">
            <w:pPr>
              <w:spacing w:after="0" w:line="240" w:lineRule="auto"/>
            </w:pPr>
            <w:r>
              <w:rPr>
                <w:sz w:val="22"/>
              </w:rPr>
              <w:t>Tỷ lệ tiền gửi không kỳ hạn trên tổng tiền gửi</w:t>
            </w:r>
          </w:p>
        </w:tc>
        <w:tc>
          <w:tcPr>
            <w:tcW w:w="4824" w:type="dxa"/>
            <w:tcMar>
              <w:top w:w="75" w:type="dxa"/>
              <w:left w:w="95" w:type="dxa"/>
              <w:bottom w:w="75" w:type="dxa"/>
              <w:right w:w="95" w:type="dxa"/>
            </w:tcMar>
            <w:vAlign w:val="center"/>
          </w:tcPr>
          <w:p w14:paraId="313821F6" w14:textId="77777777" w:rsidR="005949FD" w:rsidRDefault="00000000">
            <w:pPr>
              <w:spacing w:after="0" w:line="240" w:lineRule="auto"/>
            </w:pPr>
            <w:r>
              <w:rPr>
                <w:sz w:val="22"/>
              </w:rPr>
              <w:t>Tăng 5 điểm phần trăm so với đầu kỳ</w:t>
            </w:r>
          </w:p>
        </w:tc>
      </w:tr>
      <w:tr w:rsidR="005949FD" w14:paraId="1CA8C90B" w14:textId="77777777">
        <w:trPr>
          <w:cantSplit/>
          <w:jc w:val="center"/>
        </w:trPr>
        <w:tc>
          <w:tcPr>
            <w:tcW w:w="5112" w:type="dxa"/>
            <w:tcMar>
              <w:top w:w="75" w:type="dxa"/>
              <w:left w:w="95" w:type="dxa"/>
              <w:bottom w:w="75" w:type="dxa"/>
              <w:right w:w="95" w:type="dxa"/>
            </w:tcMar>
            <w:vAlign w:val="center"/>
          </w:tcPr>
          <w:p w14:paraId="11C2E6AC" w14:textId="77777777" w:rsidR="005949FD" w:rsidRDefault="00000000">
            <w:pPr>
              <w:spacing w:after="0" w:line="240" w:lineRule="auto"/>
            </w:pPr>
            <w:r>
              <w:rPr>
                <w:sz w:val="22"/>
              </w:rPr>
              <w:t>Doanh thu bình quân mỗi khách hàng hoạt động</w:t>
            </w:r>
          </w:p>
        </w:tc>
        <w:tc>
          <w:tcPr>
            <w:tcW w:w="4824" w:type="dxa"/>
            <w:tcMar>
              <w:top w:w="75" w:type="dxa"/>
              <w:left w:w="95" w:type="dxa"/>
              <w:bottom w:w="75" w:type="dxa"/>
              <w:right w:w="95" w:type="dxa"/>
            </w:tcMar>
            <w:vAlign w:val="center"/>
          </w:tcPr>
          <w:p w14:paraId="7D17FF44" w14:textId="77777777" w:rsidR="005949FD" w:rsidRDefault="00000000">
            <w:pPr>
              <w:spacing w:after="0" w:line="240" w:lineRule="auto"/>
            </w:pPr>
            <w:r>
              <w:rPr>
                <w:sz w:val="22"/>
              </w:rPr>
              <w:t>Tăng ít nhất 30% so với đầu kỳ</w:t>
            </w:r>
          </w:p>
        </w:tc>
      </w:tr>
      <w:tr w:rsidR="005949FD" w14:paraId="750531BA" w14:textId="77777777">
        <w:trPr>
          <w:cantSplit/>
          <w:jc w:val="center"/>
        </w:trPr>
        <w:tc>
          <w:tcPr>
            <w:tcW w:w="5112" w:type="dxa"/>
            <w:tcMar>
              <w:top w:w="75" w:type="dxa"/>
              <w:left w:w="95" w:type="dxa"/>
              <w:bottom w:w="75" w:type="dxa"/>
              <w:right w:w="95" w:type="dxa"/>
            </w:tcMar>
            <w:vAlign w:val="center"/>
          </w:tcPr>
          <w:p w14:paraId="12356FB5" w14:textId="77777777" w:rsidR="005949FD" w:rsidRDefault="00000000">
            <w:pPr>
              <w:spacing w:after="0" w:line="240" w:lineRule="auto"/>
            </w:pPr>
            <w:r>
              <w:rPr>
                <w:sz w:val="22"/>
              </w:rPr>
              <w:t>Lợi nhuận đóng góp của nhóm triển khai</w:t>
            </w:r>
          </w:p>
        </w:tc>
        <w:tc>
          <w:tcPr>
            <w:tcW w:w="4824" w:type="dxa"/>
            <w:tcMar>
              <w:top w:w="75" w:type="dxa"/>
              <w:left w:w="95" w:type="dxa"/>
              <w:bottom w:w="75" w:type="dxa"/>
              <w:right w:w="95" w:type="dxa"/>
            </w:tcMar>
            <w:vAlign w:val="center"/>
          </w:tcPr>
          <w:p w14:paraId="270B3BE3" w14:textId="77777777" w:rsidR="005949FD" w:rsidRDefault="00000000">
            <w:pPr>
              <w:spacing w:after="0" w:line="240" w:lineRule="auto"/>
            </w:pPr>
            <w:r>
              <w:rPr>
                <w:sz w:val="22"/>
              </w:rPr>
              <w:t>Dương sau chi phí vốn, ưu đãi, phục vụ và rủi ro</w:t>
            </w:r>
          </w:p>
        </w:tc>
      </w:tr>
    </w:tbl>
    <w:p w14:paraId="6351AA99" w14:textId="77777777" w:rsidR="005949FD" w:rsidRDefault="00000000">
      <w:pPr>
        <w:spacing w:before="120"/>
      </w:pPr>
      <w:r>
        <w:t>Đo các chỉ tiêu trên cùng nhóm khách hàng và cách tính nhất quán. Chỉ nâng W1 lên Rating 3 khi kết quả được duy trì và đối chiếu với chuẩn ngành, vì mức 3 nghĩa là đã trở thành điểm mạnh nhỏ. Nếu trọng số và các Rating khác giữ nguyên, IFE tăng thêm 0,60 lên 3,30 điểm.</w:t>
      </w:r>
    </w:p>
    <w:sectPr w:rsidR="005949F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163994">
    <w:abstractNumId w:val="8"/>
  </w:num>
  <w:num w:numId="2" w16cid:durableId="1124494912">
    <w:abstractNumId w:val="6"/>
  </w:num>
  <w:num w:numId="3" w16cid:durableId="553546248">
    <w:abstractNumId w:val="5"/>
  </w:num>
  <w:num w:numId="4" w16cid:durableId="995114198">
    <w:abstractNumId w:val="4"/>
  </w:num>
  <w:num w:numId="5" w16cid:durableId="405617878">
    <w:abstractNumId w:val="7"/>
  </w:num>
  <w:num w:numId="6" w16cid:durableId="2067103011">
    <w:abstractNumId w:val="3"/>
  </w:num>
  <w:num w:numId="7" w16cid:durableId="1365449148">
    <w:abstractNumId w:val="2"/>
  </w:num>
  <w:num w:numId="8" w16cid:durableId="1295329587">
    <w:abstractNumId w:val="1"/>
  </w:num>
  <w:num w:numId="9" w16cid:durableId="20230501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725"/>
    <w:rsid w:val="00326F90"/>
    <w:rsid w:val="005949FD"/>
    <w:rsid w:val="009402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2031A"/>
  <w14:defaultImageDpi w14:val="300"/>
  <w15:docId w15:val="{11F36B80-0C04-9543-890A-D3BDE716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ma trận IFE của Cake by VPBank</dc:title>
  <dc:subject>Bài tập phân tích quản trị chiến lược</dc:subject>
  <dc:creator/>
  <cp:keywords>IFE, Cake by VPBank, CASA, CLV</cp:keywords>
  <dc:description>generated by python-docx</dc:description>
  <cp:lastModifiedBy>Trọng Lâm Quang</cp:lastModifiedBy>
  <cp:revision>2</cp:revision>
  <dcterms:created xsi:type="dcterms:W3CDTF">2013-12-23T23:15:00Z</dcterms:created>
  <dcterms:modified xsi:type="dcterms:W3CDTF">2026-10-28T10:21:00Z</dcterms:modified>
  <cp:category/>
</cp:coreProperties>
</file>